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EE00D">
      <w:pPr>
        <w:pStyle w:val="3"/>
        <w:jc w:val="center"/>
      </w:pPr>
      <w:r>
        <w:rPr>
          <w:rFonts w:hint="eastAsia"/>
        </w:rPr>
        <w:t>建筑加固与修复技术微专业招生简章</w:t>
      </w:r>
    </w:p>
    <w:p w14:paraId="716D3501">
      <w:pPr>
        <w:pStyle w:val="4"/>
        <w:widowControl/>
        <w:spacing w:before="0" w:after="0" w:line="560" w:lineRule="exact"/>
        <w:ind w:firstLine="640" w:firstLineChars="200"/>
      </w:pPr>
      <w:r>
        <w:t>一、微专业简介</w:t>
      </w:r>
    </w:p>
    <w:p w14:paraId="07B3D2FB">
      <w:pPr>
        <w:pStyle w:val="4"/>
        <w:widowControl/>
        <w:spacing w:before="0" w:after="0" w:line="560" w:lineRule="exact"/>
        <w:ind w:firstLine="640" w:firstLineChars="200"/>
        <w:rPr>
          <w:rFonts w:ascii="Times New Roman" w:hAnsi="Times New Roman" w:eastAsia="仿宋_GB2312" w:cs="Times New Roman"/>
          <w:b w:val="0"/>
          <w:bCs w:val="0"/>
          <w:color w:val="333333"/>
          <w:shd w:val="clear" w:color="auto" w:fill="FFFFFF"/>
          <w:lang w:bidi="ar"/>
        </w:rPr>
      </w:pPr>
      <w:r>
        <w:rPr>
          <w:rFonts w:hint="eastAsia" w:ascii="Times New Roman" w:hAnsi="Times New Roman" w:eastAsia="仿宋_GB2312" w:cs="Times New Roman"/>
          <w:b w:val="0"/>
          <w:bCs w:val="0"/>
          <w:color w:val="333333"/>
          <w:shd w:val="clear" w:color="auto" w:fill="FFFFFF"/>
          <w:lang w:bidi="ar"/>
        </w:rPr>
        <w:t>建筑加固与修复技术微专业紧扣建筑行业高质量发展与城市更新战略需求，聚焦建筑结构检测、智能监测、加固修复核心技术，培养兼具专业理论与实操能力的复合型技术技能人才。学生将系统掌握建筑智能检测设备操作、结构健康监测数据分析、各类建筑结构加固修复方案设计与施工实施等关键技能，熟悉行业规范与质量验收标准，能胜任建筑工程检测、结构监测、加固修复施工与技术管理等岗位工作，可考取建筑信息模型（BIM）技术员等相关职业技能等级证书，毕业后服务于建筑施工、工程检测、老旧建筑改造等领域，助力建筑业绿色化、智能化升级。</w:t>
      </w:r>
    </w:p>
    <w:p w14:paraId="6F7582A4">
      <w:pPr>
        <w:pStyle w:val="4"/>
        <w:widowControl/>
        <w:spacing w:before="0" w:after="0" w:line="560" w:lineRule="exact"/>
        <w:ind w:firstLine="640" w:firstLineChars="200"/>
      </w:pPr>
      <w:r>
        <w:t>二、专业设置及招生计划</w:t>
      </w:r>
    </w:p>
    <w:p w14:paraId="51BDD972">
      <w:pPr>
        <w:pStyle w:val="5"/>
        <w:spacing w:before="0" w:after="0" w:line="560" w:lineRule="exact"/>
        <w:ind w:firstLine="640" w:firstLineChars="200"/>
        <w:rPr>
          <w:rFonts w:ascii="Times New Roman" w:hAnsi="Times New Roman" w:eastAsia="仿宋_GB2312" w:cs="Times New Roman"/>
          <w:b w:val="0"/>
          <w:bCs w:val="0"/>
          <w:color w:val="333333"/>
          <w:sz w:val="32"/>
          <w:szCs w:val="32"/>
          <w:shd w:val="clear" w:color="auto" w:fill="FFFFFF"/>
          <w:lang w:bidi="ar"/>
        </w:rPr>
      </w:pPr>
      <w:r>
        <w:rPr>
          <w:rFonts w:hint="eastAsia" w:ascii="Times New Roman" w:hAnsi="Times New Roman" w:eastAsia="仿宋_GB2312" w:cs="Times New Roman"/>
          <w:b w:val="0"/>
          <w:bCs w:val="0"/>
          <w:color w:val="333333"/>
          <w:sz w:val="32"/>
          <w:szCs w:val="32"/>
          <w:shd w:val="clear" w:color="auto" w:fill="FFFFFF"/>
          <w:lang w:bidi="ar"/>
        </w:rPr>
        <w:t>（一）专业设置</w:t>
      </w:r>
    </w:p>
    <w:p w14:paraId="1787B9FB">
      <w:pPr>
        <w:pStyle w:val="18"/>
        <w:spacing w:before="0" w:after="0" w:line="560" w:lineRule="exact"/>
        <w:ind w:firstLine="640" w:firstLineChars="200"/>
        <w:rPr>
          <w:rFonts w:ascii="Times New Roman" w:hAnsi="Times New Roman" w:eastAsia="仿宋_GB2312" w:cs="Times New Roman"/>
          <w:color w:val="333333"/>
          <w:sz w:val="32"/>
          <w:szCs w:val="32"/>
          <w:shd w:val="clear" w:color="auto" w:fill="FFFFFF"/>
          <w:lang w:bidi="ar"/>
        </w:rPr>
      </w:pPr>
      <w:r>
        <w:rPr>
          <w:rFonts w:hint="eastAsia" w:ascii="Times New Roman" w:hAnsi="Times New Roman" w:eastAsia="仿宋_GB2312" w:cs="Times New Roman"/>
          <w:color w:val="333333"/>
          <w:sz w:val="32"/>
          <w:szCs w:val="32"/>
          <w:shd w:val="clear" w:color="auto" w:fill="FFFFFF"/>
          <w:lang w:bidi="ar"/>
        </w:rPr>
        <w:t>该专业</w:t>
      </w:r>
      <w:r>
        <w:rPr>
          <w:rFonts w:ascii="Times New Roman" w:hAnsi="Times New Roman" w:eastAsia="仿宋_GB2312" w:cs="Times New Roman"/>
          <w:color w:val="333333"/>
          <w:sz w:val="32"/>
          <w:szCs w:val="32"/>
          <w:shd w:val="clear" w:color="auto" w:fill="FFFFFF"/>
          <w:lang w:bidi="ar"/>
        </w:rPr>
        <w:t>课程涵盖《</w:t>
      </w:r>
      <w:r>
        <w:rPr>
          <w:rFonts w:hint="eastAsia" w:ascii="Times New Roman" w:hAnsi="Times New Roman" w:eastAsia="仿宋_GB2312" w:cs="Times New Roman"/>
          <w:color w:val="333333"/>
          <w:sz w:val="32"/>
          <w:szCs w:val="32"/>
          <w:shd w:val="clear" w:color="auto" w:fill="FFFFFF"/>
          <w:lang w:bidi="ar"/>
        </w:rPr>
        <w:t>建筑智能检测技术</w:t>
      </w:r>
      <w:r>
        <w:rPr>
          <w:rFonts w:ascii="Times New Roman" w:hAnsi="Times New Roman" w:eastAsia="仿宋_GB2312" w:cs="Times New Roman"/>
          <w:color w:val="333333"/>
          <w:sz w:val="32"/>
          <w:szCs w:val="32"/>
          <w:shd w:val="clear" w:color="auto" w:fill="FFFFFF"/>
          <w:lang w:bidi="ar"/>
        </w:rPr>
        <w:t>》《</w:t>
      </w:r>
      <w:r>
        <w:rPr>
          <w:rFonts w:hint="eastAsia" w:ascii="Times New Roman" w:hAnsi="Times New Roman" w:eastAsia="仿宋_GB2312" w:cs="Times New Roman"/>
          <w:color w:val="333333"/>
          <w:sz w:val="32"/>
          <w:szCs w:val="32"/>
          <w:shd w:val="clear" w:color="auto" w:fill="FFFFFF"/>
          <w:lang w:bidi="ar"/>
        </w:rPr>
        <w:t>建筑智能监测技术</w:t>
      </w:r>
      <w:r>
        <w:rPr>
          <w:rFonts w:ascii="Times New Roman" w:hAnsi="Times New Roman" w:eastAsia="仿宋_GB2312" w:cs="Times New Roman"/>
          <w:color w:val="333333"/>
          <w:sz w:val="32"/>
          <w:szCs w:val="32"/>
          <w:shd w:val="clear" w:color="auto" w:fill="FFFFFF"/>
          <w:lang w:bidi="ar"/>
        </w:rPr>
        <w:t>》《</w:t>
      </w:r>
      <w:r>
        <w:rPr>
          <w:rFonts w:hint="eastAsia" w:ascii="Times New Roman" w:hAnsi="Times New Roman" w:eastAsia="仿宋_GB2312" w:cs="Times New Roman"/>
          <w:color w:val="333333"/>
          <w:sz w:val="32"/>
          <w:szCs w:val="32"/>
          <w:shd w:val="clear" w:color="auto" w:fill="FFFFFF"/>
          <w:lang w:bidi="ar"/>
        </w:rPr>
        <w:t>建筑加固与修复技术</w:t>
      </w:r>
      <w:r>
        <w:rPr>
          <w:rFonts w:ascii="Times New Roman" w:hAnsi="Times New Roman" w:eastAsia="仿宋_GB2312" w:cs="Times New Roman"/>
          <w:color w:val="333333"/>
          <w:sz w:val="32"/>
          <w:szCs w:val="32"/>
          <w:shd w:val="clear" w:color="auto" w:fill="FFFFFF"/>
          <w:lang w:bidi="ar"/>
        </w:rPr>
        <w:t>》3门核心课程</w:t>
      </w:r>
      <w:r>
        <w:rPr>
          <w:rFonts w:hint="eastAsia" w:ascii="Times New Roman" w:hAnsi="Times New Roman" w:eastAsia="仿宋_GB2312" w:cs="Times New Roman"/>
          <w:color w:val="333333"/>
          <w:sz w:val="32"/>
          <w:szCs w:val="32"/>
          <w:shd w:val="clear" w:color="auto" w:fill="FFFFFF"/>
          <w:lang w:bidi="ar"/>
        </w:rPr>
        <w:t>和</w:t>
      </w:r>
      <w:r>
        <w:rPr>
          <w:rFonts w:ascii="Times New Roman" w:hAnsi="Times New Roman" w:eastAsia="仿宋_GB2312" w:cs="Times New Roman"/>
          <w:color w:val="333333"/>
          <w:sz w:val="32"/>
          <w:szCs w:val="32"/>
          <w:shd w:val="clear" w:color="auto" w:fill="FFFFFF"/>
          <w:lang w:bidi="ar"/>
        </w:rPr>
        <w:t>《</w:t>
      </w:r>
      <w:r>
        <w:rPr>
          <w:rFonts w:hint="eastAsia" w:ascii="Times New Roman" w:hAnsi="Times New Roman" w:eastAsia="仿宋_GB2312" w:cs="Times New Roman"/>
          <w:color w:val="333333"/>
          <w:sz w:val="32"/>
          <w:szCs w:val="32"/>
          <w:shd w:val="clear" w:color="auto" w:fill="FFFFFF"/>
          <w:lang w:bidi="ar"/>
        </w:rPr>
        <w:t>建筑抗震</w:t>
      </w:r>
      <w:r>
        <w:rPr>
          <w:rFonts w:ascii="Times New Roman" w:hAnsi="Times New Roman" w:eastAsia="仿宋_GB2312" w:cs="Times New Roman"/>
          <w:color w:val="333333"/>
          <w:sz w:val="32"/>
          <w:szCs w:val="32"/>
          <w:shd w:val="clear" w:color="auto" w:fill="FFFFFF"/>
          <w:lang w:bidi="ar"/>
        </w:rPr>
        <w:t>》</w:t>
      </w:r>
      <w:r>
        <w:rPr>
          <w:rFonts w:hint="eastAsia" w:ascii="Times New Roman" w:hAnsi="Times New Roman" w:eastAsia="仿宋_GB2312" w:cs="Times New Roman"/>
          <w:color w:val="333333"/>
          <w:sz w:val="32"/>
          <w:szCs w:val="32"/>
          <w:shd w:val="clear" w:color="auto" w:fill="FFFFFF"/>
          <w:lang w:bidi="ar"/>
        </w:rPr>
        <w:t>1门拓展课程，共</w:t>
      </w:r>
      <w:r>
        <w:rPr>
          <w:rFonts w:ascii="Times New Roman" w:hAnsi="Times New Roman" w:eastAsia="仿宋_GB2312" w:cs="Times New Roman"/>
          <w:color w:val="333333"/>
          <w:sz w:val="32"/>
          <w:szCs w:val="32"/>
          <w:shd w:val="clear" w:color="auto" w:fill="FFFFFF"/>
          <w:lang w:bidi="ar"/>
        </w:rPr>
        <w:t>1</w:t>
      </w:r>
      <w:r>
        <w:rPr>
          <w:rFonts w:hint="eastAsia" w:ascii="Times New Roman" w:hAnsi="Times New Roman" w:eastAsia="仿宋_GB2312" w:cs="Times New Roman"/>
          <w:color w:val="333333"/>
          <w:sz w:val="32"/>
          <w:szCs w:val="32"/>
          <w:shd w:val="clear" w:color="auto" w:fill="FFFFFF"/>
          <w:lang w:val="en-US" w:eastAsia="zh-CN" w:bidi="ar"/>
        </w:rPr>
        <w:t>2</w:t>
      </w:r>
      <w:r>
        <w:rPr>
          <w:rFonts w:hint="eastAsia" w:ascii="Times New Roman" w:hAnsi="Times New Roman" w:eastAsia="仿宋_GB2312" w:cs="Times New Roman"/>
          <w:color w:val="333333"/>
          <w:sz w:val="32"/>
          <w:szCs w:val="32"/>
          <w:shd w:val="clear" w:color="auto" w:fill="FFFFFF"/>
          <w:lang w:bidi="ar"/>
        </w:rPr>
        <w:t>学分</w:t>
      </w:r>
      <w:r>
        <w:rPr>
          <w:rFonts w:ascii="Times New Roman" w:hAnsi="Times New Roman" w:eastAsia="仿宋_GB2312" w:cs="Times New Roman"/>
          <w:color w:val="333333"/>
          <w:sz w:val="32"/>
          <w:szCs w:val="32"/>
          <w:shd w:val="clear" w:color="auto" w:fill="FFFFFF"/>
          <w:lang w:bidi="ar"/>
        </w:rPr>
        <w:t>，具体</w:t>
      </w:r>
      <w:r>
        <w:rPr>
          <w:rFonts w:hint="eastAsia" w:ascii="Times New Roman" w:hAnsi="Times New Roman" w:eastAsia="仿宋_GB2312" w:cs="Times New Roman"/>
          <w:color w:val="333333"/>
          <w:sz w:val="32"/>
          <w:szCs w:val="32"/>
          <w:shd w:val="clear" w:color="auto" w:fill="FFFFFF"/>
          <w:lang w:bidi="ar"/>
        </w:rPr>
        <w:t>课程</w:t>
      </w:r>
      <w:r>
        <w:rPr>
          <w:rFonts w:ascii="Times New Roman" w:hAnsi="Times New Roman" w:eastAsia="仿宋_GB2312" w:cs="Times New Roman"/>
          <w:color w:val="333333"/>
          <w:sz w:val="32"/>
          <w:szCs w:val="32"/>
          <w:shd w:val="clear" w:color="auto" w:fill="FFFFFF"/>
          <w:lang w:bidi="ar"/>
        </w:rPr>
        <w:t>信息如下表：</w:t>
      </w:r>
    </w:p>
    <w:tbl>
      <w:tblPr>
        <w:tblStyle w:val="11"/>
        <w:tblW w:w="0" w:type="auto"/>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autofit"/>
        <w:tblCellMar>
          <w:top w:w="0" w:type="dxa"/>
          <w:left w:w="10" w:type="dxa"/>
          <w:bottom w:w="0" w:type="dxa"/>
          <w:right w:w="10" w:type="dxa"/>
        </w:tblCellMar>
      </w:tblPr>
      <w:tblGrid>
        <w:gridCol w:w="1323"/>
        <w:gridCol w:w="947"/>
        <w:gridCol w:w="680"/>
        <w:gridCol w:w="1594"/>
        <w:gridCol w:w="1735"/>
        <w:gridCol w:w="1184"/>
        <w:gridCol w:w="1557"/>
      </w:tblGrid>
      <w:tr w14:paraId="216AB4AF">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23" w:type="dxa"/>
            <w:tcBorders>
              <w:tl2br w:val="nil"/>
              <w:tr2bl w:val="nil"/>
            </w:tcBorders>
            <w:tcMar>
              <w:top w:w="60" w:type="dxa"/>
              <w:left w:w="120" w:type="dxa"/>
              <w:bottom w:w="30" w:type="dxa"/>
              <w:right w:w="120" w:type="dxa"/>
            </w:tcMar>
          </w:tcPr>
          <w:p w14:paraId="499A45DE">
            <w:pPr>
              <w:pStyle w:val="18"/>
              <w:jc w:val="center"/>
              <w:rPr>
                <w:rFonts w:hint="eastAsia" w:ascii="仿宋" w:hAnsi="仿宋" w:eastAsia="仿宋" w:cs="仿宋"/>
                <w:b/>
                <w:bCs/>
                <w:sz w:val="21"/>
                <w:szCs w:val="21"/>
              </w:rPr>
            </w:pPr>
            <w:r>
              <w:rPr>
                <w:rFonts w:hint="eastAsia" w:ascii="仿宋" w:hAnsi="仿宋" w:eastAsia="仿宋" w:cs="仿宋"/>
                <w:b/>
                <w:bCs/>
                <w:sz w:val="21"/>
                <w:szCs w:val="21"/>
              </w:rPr>
              <w:t>课程名称</w:t>
            </w:r>
          </w:p>
        </w:tc>
        <w:tc>
          <w:tcPr>
            <w:tcW w:w="947" w:type="dxa"/>
            <w:tcBorders>
              <w:tl2br w:val="nil"/>
              <w:tr2bl w:val="nil"/>
            </w:tcBorders>
            <w:tcMar>
              <w:top w:w="60" w:type="dxa"/>
              <w:left w:w="120" w:type="dxa"/>
              <w:bottom w:w="30" w:type="dxa"/>
              <w:right w:w="120" w:type="dxa"/>
            </w:tcMar>
          </w:tcPr>
          <w:p w14:paraId="74E65CDE">
            <w:pPr>
              <w:pStyle w:val="18"/>
              <w:jc w:val="center"/>
              <w:rPr>
                <w:rFonts w:hint="eastAsia" w:ascii="仿宋" w:hAnsi="仿宋" w:eastAsia="仿宋" w:cs="仿宋"/>
                <w:b/>
                <w:bCs/>
                <w:sz w:val="21"/>
                <w:szCs w:val="21"/>
              </w:rPr>
            </w:pPr>
            <w:r>
              <w:rPr>
                <w:rFonts w:hint="eastAsia" w:ascii="仿宋" w:hAnsi="仿宋" w:eastAsia="仿宋" w:cs="仿宋"/>
                <w:b/>
                <w:bCs/>
                <w:sz w:val="21"/>
                <w:szCs w:val="21"/>
              </w:rPr>
              <w:t>总学时</w:t>
            </w:r>
          </w:p>
        </w:tc>
        <w:tc>
          <w:tcPr>
            <w:tcW w:w="680" w:type="dxa"/>
            <w:tcBorders>
              <w:tl2br w:val="nil"/>
              <w:tr2bl w:val="nil"/>
            </w:tcBorders>
            <w:tcMar>
              <w:top w:w="60" w:type="dxa"/>
              <w:left w:w="120" w:type="dxa"/>
              <w:bottom w:w="30" w:type="dxa"/>
              <w:right w:w="120" w:type="dxa"/>
            </w:tcMar>
          </w:tcPr>
          <w:p w14:paraId="0640722C">
            <w:pPr>
              <w:pStyle w:val="18"/>
              <w:jc w:val="center"/>
              <w:rPr>
                <w:rFonts w:hint="eastAsia" w:ascii="仿宋" w:hAnsi="仿宋" w:eastAsia="仿宋" w:cs="仿宋"/>
                <w:b/>
                <w:bCs/>
                <w:sz w:val="21"/>
                <w:szCs w:val="21"/>
              </w:rPr>
            </w:pPr>
            <w:r>
              <w:rPr>
                <w:rFonts w:hint="eastAsia" w:ascii="仿宋" w:hAnsi="仿宋" w:eastAsia="仿宋" w:cs="仿宋"/>
                <w:b/>
                <w:bCs/>
                <w:sz w:val="21"/>
                <w:szCs w:val="21"/>
              </w:rPr>
              <w:t>学分</w:t>
            </w:r>
          </w:p>
        </w:tc>
        <w:tc>
          <w:tcPr>
            <w:tcW w:w="1594" w:type="dxa"/>
            <w:tcBorders>
              <w:tl2br w:val="nil"/>
              <w:tr2bl w:val="nil"/>
            </w:tcBorders>
            <w:tcMar>
              <w:top w:w="60" w:type="dxa"/>
              <w:left w:w="120" w:type="dxa"/>
              <w:bottom w:w="30" w:type="dxa"/>
              <w:right w:w="120" w:type="dxa"/>
            </w:tcMar>
          </w:tcPr>
          <w:p w14:paraId="3F14B323">
            <w:pPr>
              <w:pStyle w:val="18"/>
              <w:jc w:val="center"/>
              <w:rPr>
                <w:rFonts w:hint="eastAsia" w:ascii="仿宋" w:hAnsi="仿宋" w:eastAsia="仿宋" w:cs="仿宋"/>
                <w:b/>
                <w:bCs/>
                <w:sz w:val="21"/>
                <w:szCs w:val="21"/>
              </w:rPr>
            </w:pPr>
            <w:r>
              <w:rPr>
                <w:rFonts w:hint="eastAsia" w:ascii="仿宋" w:hAnsi="仿宋" w:eastAsia="仿宋" w:cs="仿宋"/>
                <w:b/>
                <w:bCs/>
                <w:sz w:val="21"/>
                <w:szCs w:val="21"/>
              </w:rPr>
              <w:t>授课方式</w:t>
            </w:r>
          </w:p>
        </w:tc>
        <w:tc>
          <w:tcPr>
            <w:tcW w:w="1735" w:type="dxa"/>
            <w:tcBorders>
              <w:tl2br w:val="nil"/>
              <w:tr2bl w:val="nil"/>
            </w:tcBorders>
            <w:tcMar>
              <w:top w:w="60" w:type="dxa"/>
              <w:left w:w="120" w:type="dxa"/>
              <w:bottom w:w="30" w:type="dxa"/>
              <w:right w:w="120" w:type="dxa"/>
            </w:tcMar>
          </w:tcPr>
          <w:p w14:paraId="65465DE6">
            <w:pPr>
              <w:pStyle w:val="18"/>
              <w:jc w:val="center"/>
              <w:rPr>
                <w:rFonts w:hint="eastAsia" w:ascii="仿宋" w:hAnsi="仿宋" w:eastAsia="仿宋" w:cs="仿宋"/>
                <w:b/>
                <w:bCs/>
                <w:sz w:val="21"/>
                <w:szCs w:val="21"/>
              </w:rPr>
            </w:pPr>
            <w:r>
              <w:rPr>
                <w:rFonts w:hint="eastAsia" w:ascii="仿宋" w:hAnsi="仿宋" w:eastAsia="仿宋" w:cs="仿宋"/>
                <w:b/>
                <w:bCs/>
                <w:sz w:val="21"/>
                <w:szCs w:val="21"/>
              </w:rPr>
              <w:t>考核方式</w:t>
            </w:r>
          </w:p>
        </w:tc>
        <w:tc>
          <w:tcPr>
            <w:tcW w:w="1184" w:type="dxa"/>
            <w:tcBorders>
              <w:tl2br w:val="nil"/>
              <w:tr2bl w:val="nil"/>
            </w:tcBorders>
            <w:tcMar>
              <w:top w:w="60" w:type="dxa"/>
              <w:left w:w="120" w:type="dxa"/>
              <w:bottom w:w="30" w:type="dxa"/>
              <w:right w:w="120" w:type="dxa"/>
            </w:tcMar>
          </w:tcPr>
          <w:p w14:paraId="08B892C2">
            <w:pPr>
              <w:pStyle w:val="18"/>
              <w:jc w:val="center"/>
              <w:rPr>
                <w:rFonts w:hint="eastAsia" w:ascii="仿宋" w:hAnsi="仿宋" w:eastAsia="仿宋" w:cs="仿宋"/>
                <w:b/>
                <w:bCs/>
                <w:sz w:val="21"/>
                <w:szCs w:val="21"/>
              </w:rPr>
            </w:pPr>
            <w:r>
              <w:rPr>
                <w:rFonts w:hint="eastAsia" w:ascii="仿宋" w:hAnsi="仿宋" w:eastAsia="仿宋" w:cs="仿宋"/>
                <w:b/>
                <w:bCs/>
                <w:sz w:val="21"/>
                <w:szCs w:val="21"/>
              </w:rPr>
              <w:t>开课时间</w:t>
            </w:r>
          </w:p>
        </w:tc>
        <w:tc>
          <w:tcPr>
            <w:tcW w:w="1557" w:type="dxa"/>
            <w:tcBorders>
              <w:tl2br w:val="nil"/>
              <w:tr2bl w:val="nil"/>
            </w:tcBorders>
            <w:tcMar>
              <w:top w:w="60" w:type="dxa"/>
              <w:left w:w="120" w:type="dxa"/>
              <w:bottom w:w="30" w:type="dxa"/>
              <w:right w:w="120" w:type="dxa"/>
            </w:tcMar>
          </w:tcPr>
          <w:p w14:paraId="3D55D194">
            <w:pPr>
              <w:pStyle w:val="18"/>
              <w:jc w:val="center"/>
              <w:rPr>
                <w:rFonts w:hint="eastAsia" w:ascii="仿宋" w:hAnsi="仿宋" w:eastAsia="仿宋" w:cs="仿宋"/>
                <w:b/>
                <w:bCs/>
                <w:sz w:val="21"/>
                <w:szCs w:val="21"/>
              </w:rPr>
            </w:pPr>
            <w:r>
              <w:rPr>
                <w:rFonts w:hint="eastAsia" w:ascii="仿宋" w:hAnsi="仿宋" w:eastAsia="仿宋" w:cs="仿宋"/>
                <w:b/>
                <w:bCs/>
                <w:sz w:val="21"/>
                <w:szCs w:val="21"/>
              </w:rPr>
              <w:t>教学内容</w:t>
            </w:r>
          </w:p>
        </w:tc>
      </w:tr>
      <w:tr w14:paraId="465E1B1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rPr>
          <w:trHeight w:val="644" w:hRule="atLeast"/>
        </w:trPr>
        <w:tc>
          <w:tcPr>
            <w:tcW w:w="1323" w:type="dxa"/>
            <w:tcBorders>
              <w:tl2br w:val="nil"/>
              <w:tr2bl w:val="nil"/>
            </w:tcBorders>
            <w:tcMar>
              <w:top w:w="60" w:type="dxa"/>
              <w:left w:w="120" w:type="dxa"/>
              <w:bottom w:w="30" w:type="dxa"/>
              <w:right w:w="120" w:type="dxa"/>
            </w:tcMar>
          </w:tcPr>
          <w:p w14:paraId="2E7B3B52">
            <w:pPr>
              <w:pStyle w:val="18"/>
              <w:rPr>
                <w:rFonts w:hint="eastAsia" w:ascii="仿宋" w:hAnsi="仿宋" w:eastAsia="仿宋" w:cs="仿宋"/>
                <w:sz w:val="21"/>
                <w:szCs w:val="21"/>
              </w:rPr>
            </w:pPr>
            <w:r>
              <w:rPr>
                <w:rFonts w:hint="eastAsia" w:ascii="仿宋" w:hAnsi="仿宋" w:eastAsia="仿宋" w:cs="仿宋"/>
                <w:sz w:val="21"/>
                <w:szCs w:val="21"/>
              </w:rPr>
              <w:t>《建筑智能检测技术》</w:t>
            </w:r>
          </w:p>
        </w:tc>
        <w:tc>
          <w:tcPr>
            <w:tcW w:w="947" w:type="dxa"/>
            <w:tcBorders>
              <w:tl2br w:val="nil"/>
              <w:tr2bl w:val="nil"/>
            </w:tcBorders>
            <w:tcMar>
              <w:top w:w="60" w:type="dxa"/>
              <w:left w:w="120" w:type="dxa"/>
              <w:bottom w:w="30" w:type="dxa"/>
              <w:right w:w="120" w:type="dxa"/>
            </w:tcMar>
          </w:tcPr>
          <w:p w14:paraId="5D079BC8">
            <w:pPr>
              <w:pStyle w:val="1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48</w:t>
            </w:r>
          </w:p>
        </w:tc>
        <w:tc>
          <w:tcPr>
            <w:tcW w:w="680" w:type="dxa"/>
            <w:tcBorders>
              <w:tl2br w:val="nil"/>
              <w:tr2bl w:val="nil"/>
            </w:tcBorders>
            <w:tcMar>
              <w:top w:w="60" w:type="dxa"/>
              <w:left w:w="120" w:type="dxa"/>
              <w:bottom w:w="30" w:type="dxa"/>
              <w:right w:w="120" w:type="dxa"/>
            </w:tcMar>
          </w:tcPr>
          <w:p w14:paraId="706FF93D">
            <w:pPr>
              <w:pStyle w:val="18"/>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3</w:t>
            </w:r>
          </w:p>
        </w:tc>
        <w:tc>
          <w:tcPr>
            <w:tcW w:w="1594" w:type="dxa"/>
            <w:tcBorders>
              <w:tl2br w:val="nil"/>
              <w:tr2bl w:val="nil"/>
            </w:tcBorders>
            <w:tcMar>
              <w:top w:w="60" w:type="dxa"/>
              <w:left w:w="120" w:type="dxa"/>
              <w:bottom w:w="30" w:type="dxa"/>
              <w:right w:w="120" w:type="dxa"/>
            </w:tcMar>
          </w:tcPr>
          <w:p w14:paraId="486A6184">
            <w:pPr>
              <w:pStyle w:val="18"/>
              <w:jc w:val="center"/>
              <w:rPr>
                <w:rFonts w:hint="eastAsia" w:ascii="仿宋" w:hAnsi="仿宋" w:eastAsia="仿宋" w:cs="仿宋"/>
                <w:sz w:val="21"/>
                <w:szCs w:val="21"/>
              </w:rPr>
            </w:pPr>
            <w:r>
              <w:rPr>
                <w:rFonts w:hint="eastAsia" w:ascii="仿宋" w:hAnsi="仿宋" w:eastAsia="仿宋" w:cs="仿宋"/>
                <w:sz w:val="21"/>
                <w:szCs w:val="21"/>
              </w:rPr>
              <w:t>线上 + 线下（理论授课 + 虚拟训练）</w:t>
            </w:r>
          </w:p>
        </w:tc>
        <w:tc>
          <w:tcPr>
            <w:tcW w:w="1735" w:type="dxa"/>
            <w:tcBorders>
              <w:tl2br w:val="nil"/>
              <w:tr2bl w:val="nil"/>
            </w:tcBorders>
            <w:tcMar>
              <w:top w:w="60" w:type="dxa"/>
              <w:left w:w="120" w:type="dxa"/>
              <w:bottom w:w="30" w:type="dxa"/>
              <w:right w:w="120" w:type="dxa"/>
            </w:tcMar>
          </w:tcPr>
          <w:p w14:paraId="13364DF5">
            <w:pPr>
              <w:pStyle w:val="18"/>
              <w:rPr>
                <w:rFonts w:hint="eastAsia" w:ascii="仿宋" w:hAnsi="仿宋" w:eastAsia="仿宋" w:cs="仿宋"/>
                <w:sz w:val="21"/>
                <w:szCs w:val="21"/>
              </w:rPr>
            </w:pPr>
            <w:r>
              <w:rPr>
                <w:rFonts w:hint="eastAsia" w:ascii="仿宋" w:hAnsi="仿宋" w:eastAsia="仿宋" w:cs="仿宋"/>
                <w:sz w:val="21"/>
                <w:szCs w:val="21"/>
              </w:rPr>
              <w:t>过程性评价（实训操作、课堂表现）+结果性评价（理论考试+检测报告编制）</w:t>
            </w:r>
          </w:p>
        </w:tc>
        <w:tc>
          <w:tcPr>
            <w:tcW w:w="1184" w:type="dxa"/>
            <w:tcBorders>
              <w:tl2br w:val="nil"/>
              <w:tr2bl w:val="nil"/>
            </w:tcBorders>
            <w:tcMar>
              <w:top w:w="60" w:type="dxa"/>
              <w:left w:w="120" w:type="dxa"/>
              <w:bottom w:w="30" w:type="dxa"/>
              <w:right w:w="120" w:type="dxa"/>
            </w:tcMar>
          </w:tcPr>
          <w:p w14:paraId="7B807622">
            <w:pPr>
              <w:pStyle w:val="18"/>
              <w:rPr>
                <w:rFonts w:hint="eastAsia" w:ascii="仿宋" w:hAnsi="仿宋" w:eastAsia="仿宋" w:cs="仿宋"/>
                <w:sz w:val="21"/>
                <w:szCs w:val="21"/>
              </w:rPr>
            </w:pPr>
            <w:r>
              <w:rPr>
                <w:rFonts w:hint="eastAsia" w:ascii="仿宋" w:hAnsi="仿宋" w:eastAsia="仿宋" w:cs="仿宋"/>
                <w:sz w:val="21"/>
                <w:szCs w:val="21"/>
              </w:rPr>
              <w:t xml:space="preserve">2026 年 </w:t>
            </w:r>
            <w:r>
              <w:rPr>
                <w:rFonts w:hint="eastAsia" w:ascii="仿宋" w:hAnsi="仿宋" w:eastAsia="仿宋" w:cs="仿宋"/>
                <w:sz w:val="21"/>
                <w:szCs w:val="21"/>
                <w:lang w:val="en-US" w:eastAsia="zh-CN"/>
              </w:rPr>
              <w:t>5</w:t>
            </w:r>
            <w:r>
              <w:rPr>
                <w:rFonts w:hint="eastAsia" w:ascii="仿宋" w:hAnsi="仿宋" w:eastAsia="仿宋" w:cs="仿宋"/>
                <w:sz w:val="21"/>
                <w:szCs w:val="21"/>
              </w:rPr>
              <w:t>月-202</w:t>
            </w:r>
            <w:r>
              <w:rPr>
                <w:rFonts w:hint="eastAsia" w:ascii="仿宋" w:hAnsi="仿宋" w:eastAsia="仿宋" w:cs="仿宋"/>
                <w:sz w:val="21"/>
                <w:szCs w:val="21"/>
                <w:lang w:val="en-US" w:eastAsia="zh-CN"/>
              </w:rPr>
              <w:t>7</w:t>
            </w:r>
            <w:r>
              <w:rPr>
                <w:rFonts w:hint="eastAsia" w:ascii="仿宋" w:hAnsi="仿宋" w:eastAsia="仿宋" w:cs="仿宋"/>
                <w:sz w:val="21"/>
                <w:szCs w:val="21"/>
              </w:rPr>
              <w:t>年</w:t>
            </w:r>
            <w:r>
              <w:rPr>
                <w:rFonts w:hint="eastAsia" w:ascii="仿宋" w:hAnsi="仿宋" w:eastAsia="仿宋" w:cs="仿宋"/>
                <w:sz w:val="21"/>
                <w:szCs w:val="21"/>
                <w:lang w:val="en-US" w:eastAsia="zh-CN"/>
              </w:rPr>
              <w:t>4</w:t>
            </w:r>
            <w:r>
              <w:rPr>
                <w:rFonts w:hint="eastAsia" w:ascii="仿宋" w:hAnsi="仿宋" w:eastAsia="仿宋" w:cs="仿宋"/>
                <w:sz w:val="21"/>
                <w:szCs w:val="21"/>
              </w:rPr>
              <w:t>月</w:t>
            </w:r>
          </w:p>
        </w:tc>
        <w:tc>
          <w:tcPr>
            <w:tcW w:w="1557" w:type="dxa"/>
            <w:tcBorders>
              <w:tl2br w:val="nil"/>
              <w:tr2bl w:val="nil"/>
            </w:tcBorders>
            <w:tcMar>
              <w:top w:w="60" w:type="dxa"/>
              <w:left w:w="120" w:type="dxa"/>
              <w:bottom w:w="30" w:type="dxa"/>
              <w:right w:w="120" w:type="dxa"/>
            </w:tcMar>
          </w:tcPr>
          <w:p w14:paraId="2347B3E2">
            <w:pPr>
              <w:pStyle w:val="18"/>
              <w:rPr>
                <w:rFonts w:hint="eastAsia" w:ascii="仿宋" w:hAnsi="仿宋" w:eastAsia="仿宋" w:cs="仿宋"/>
                <w:sz w:val="21"/>
                <w:szCs w:val="21"/>
              </w:rPr>
            </w:pPr>
            <w:r>
              <w:rPr>
                <w:rFonts w:hint="eastAsia" w:ascii="仿宋" w:hAnsi="仿宋" w:eastAsia="仿宋" w:cs="仿宋"/>
                <w:sz w:val="21"/>
                <w:szCs w:val="21"/>
              </w:rPr>
              <w:t>讲解建筑结构智能检测标准（GB/T 50344等），实操回弹仪、裂缝测宽仪等，掌握混凝土、钢结构、砌体结构检测方法及数据处理、检测报告编制技能</w:t>
            </w:r>
          </w:p>
        </w:tc>
      </w:tr>
      <w:tr w14:paraId="717062B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23" w:type="dxa"/>
            <w:tcBorders>
              <w:tl2br w:val="nil"/>
              <w:tr2bl w:val="nil"/>
            </w:tcBorders>
            <w:tcMar>
              <w:top w:w="60" w:type="dxa"/>
              <w:left w:w="120" w:type="dxa"/>
              <w:bottom w:w="30" w:type="dxa"/>
              <w:right w:w="120" w:type="dxa"/>
            </w:tcMar>
          </w:tcPr>
          <w:p w14:paraId="7ED80505">
            <w:pPr>
              <w:pStyle w:val="18"/>
              <w:rPr>
                <w:rFonts w:hint="eastAsia" w:ascii="仿宋" w:hAnsi="仿宋" w:eastAsia="仿宋" w:cs="仿宋"/>
                <w:sz w:val="21"/>
                <w:szCs w:val="21"/>
              </w:rPr>
            </w:pPr>
            <w:r>
              <w:rPr>
                <w:rFonts w:hint="eastAsia" w:ascii="仿宋" w:hAnsi="仿宋" w:eastAsia="仿宋" w:cs="仿宋"/>
                <w:sz w:val="21"/>
                <w:szCs w:val="21"/>
              </w:rPr>
              <w:t>《建筑智能监测技术》</w:t>
            </w:r>
          </w:p>
        </w:tc>
        <w:tc>
          <w:tcPr>
            <w:tcW w:w="947" w:type="dxa"/>
            <w:tcBorders>
              <w:tl2br w:val="nil"/>
              <w:tr2bl w:val="nil"/>
            </w:tcBorders>
            <w:tcMar>
              <w:top w:w="60" w:type="dxa"/>
              <w:left w:w="120" w:type="dxa"/>
              <w:bottom w:w="30" w:type="dxa"/>
              <w:right w:w="120" w:type="dxa"/>
            </w:tcMar>
          </w:tcPr>
          <w:p w14:paraId="0F870F3A">
            <w:pPr>
              <w:pStyle w:val="18"/>
              <w:jc w:val="center"/>
              <w:rPr>
                <w:rFonts w:hint="eastAsia" w:ascii="仿宋" w:hAnsi="仿宋" w:eastAsia="仿宋" w:cs="仿宋"/>
                <w:sz w:val="21"/>
                <w:szCs w:val="21"/>
              </w:rPr>
            </w:pPr>
            <w:r>
              <w:rPr>
                <w:rFonts w:hint="eastAsia" w:ascii="仿宋" w:hAnsi="仿宋" w:eastAsia="仿宋" w:cs="仿宋"/>
                <w:sz w:val="21"/>
                <w:szCs w:val="21"/>
              </w:rPr>
              <w:t>48</w:t>
            </w:r>
          </w:p>
        </w:tc>
        <w:tc>
          <w:tcPr>
            <w:tcW w:w="680" w:type="dxa"/>
            <w:tcBorders>
              <w:tl2br w:val="nil"/>
              <w:tr2bl w:val="nil"/>
            </w:tcBorders>
            <w:tcMar>
              <w:top w:w="60" w:type="dxa"/>
              <w:left w:w="120" w:type="dxa"/>
              <w:bottom w:w="30" w:type="dxa"/>
              <w:right w:w="120" w:type="dxa"/>
            </w:tcMar>
          </w:tcPr>
          <w:p w14:paraId="5DF9D622">
            <w:pPr>
              <w:pStyle w:val="18"/>
              <w:jc w:val="center"/>
              <w:rPr>
                <w:rFonts w:hint="eastAsia" w:ascii="仿宋" w:hAnsi="仿宋" w:eastAsia="仿宋" w:cs="仿宋"/>
                <w:sz w:val="21"/>
                <w:szCs w:val="21"/>
              </w:rPr>
            </w:pPr>
            <w:r>
              <w:rPr>
                <w:rFonts w:hint="eastAsia" w:ascii="仿宋" w:hAnsi="仿宋" w:eastAsia="仿宋" w:cs="仿宋"/>
                <w:sz w:val="21"/>
                <w:szCs w:val="21"/>
              </w:rPr>
              <w:t>3</w:t>
            </w:r>
          </w:p>
        </w:tc>
        <w:tc>
          <w:tcPr>
            <w:tcW w:w="1594" w:type="dxa"/>
            <w:tcBorders>
              <w:tl2br w:val="nil"/>
              <w:tr2bl w:val="nil"/>
            </w:tcBorders>
            <w:tcMar>
              <w:top w:w="60" w:type="dxa"/>
              <w:left w:w="120" w:type="dxa"/>
              <w:bottom w:w="30" w:type="dxa"/>
              <w:right w:w="120" w:type="dxa"/>
            </w:tcMar>
          </w:tcPr>
          <w:p w14:paraId="2C3A918C">
            <w:pPr>
              <w:pStyle w:val="18"/>
              <w:jc w:val="center"/>
              <w:rPr>
                <w:rFonts w:hint="eastAsia" w:ascii="仿宋" w:hAnsi="仿宋" w:eastAsia="仿宋" w:cs="仿宋"/>
                <w:sz w:val="21"/>
                <w:szCs w:val="21"/>
              </w:rPr>
            </w:pPr>
            <w:r>
              <w:rPr>
                <w:rFonts w:hint="eastAsia" w:ascii="仿宋" w:hAnsi="仿宋" w:eastAsia="仿宋" w:cs="仿宋"/>
                <w:sz w:val="21"/>
                <w:szCs w:val="21"/>
              </w:rPr>
              <w:t>线上 + 线下（理论授课 + 案例分析）</w:t>
            </w:r>
          </w:p>
        </w:tc>
        <w:tc>
          <w:tcPr>
            <w:tcW w:w="1735" w:type="dxa"/>
            <w:tcBorders>
              <w:tl2br w:val="nil"/>
              <w:tr2bl w:val="nil"/>
            </w:tcBorders>
            <w:tcMar>
              <w:top w:w="60" w:type="dxa"/>
              <w:left w:w="120" w:type="dxa"/>
              <w:bottom w:w="30" w:type="dxa"/>
              <w:right w:w="120" w:type="dxa"/>
            </w:tcMar>
          </w:tcPr>
          <w:p w14:paraId="61AC7785">
            <w:pPr>
              <w:pStyle w:val="18"/>
              <w:rPr>
                <w:rFonts w:hint="eastAsia" w:ascii="仿宋" w:hAnsi="仿宋" w:eastAsia="仿宋" w:cs="仿宋"/>
                <w:sz w:val="21"/>
                <w:szCs w:val="21"/>
              </w:rPr>
            </w:pPr>
            <w:r>
              <w:rPr>
                <w:rFonts w:hint="eastAsia" w:ascii="仿宋" w:hAnsi="仿宋" w:eastAsia="仿宋" w:cs="仿宋"/>
                <w:sz w:val="21"/>
                <w:szCs w:val="21"/>
              </w:rPr>
              <w:t>过程性评价（监测方案设计、设备操作）+结果性评价（实操考核+监测数据分析报告）</w:t>
            </w:r>
          </w:p>
        </w:tc>
        <w:tc>
          <w:tcPr>
            <w:tcW w:w="1184" w:type="dxa"/>
            <w:tcBorders>
              <w:tl2br w:val="nil"/>
              <w:tr2bl w:val="nil"/>
            </w:tcBorders>
            <w:tcMar>
              <w:top w:w="60" w:type="dxa"/>
              <w:left w:w="120" w:type="dxa"/>
              <w:bottom w:w="30" w:type="dxa"/>
              <w:right w:w="120" w:type="dxa"/>
            </w:tcMar>
          </w:tcPr>
          <w:p w14:paraId="6CAE11EF">
            <w:pPr>
              <w:pStyle w:val="18"/>
              <w:rPr>
                <w:rFonts w:hint="eastAsia" w:ascii="仿宋" w:hAnsi="仿宋" w:eastAsia="仿宋" w:cs="仿宋"/>
                <w:sz w:val="21"/>
                <w:szCs w:val="21"/>
              </w:rPr>
            </w:pPr>
            <w:r>
              <w:rPr>
                <w:rFonts w:hint="eastAsia" w:ascii="仿宋" w:hAnsi="仿宋" w:eastAsia="仿宋" w:cs="仿宋"/>
                <w:sz w:val="21"/>
                <w:szCs w:val="21"/>
              </w:rPr>
              <w:t xml:space="preserve">2026 年 </w:t>
            </w:r>
            <w:r>
              <w:rPr>
                <w:rFonts w:hint="eastAsia" w:ascii="仿宋" w:hAnsi="仿宋" w:eastAsia="仿宋" w:cs="仿宋"/>
                <w:sz w:val="21"/>
                <w:szCs w:val="21"/>
                <w:lang w:val="en-US" w:eastAsia="zh-CN"/>
              </w:rPr>
              <w:t>5</w:t>
            </w:r>
            <w:r>
              <w:rPr>
                <w:rFonts w:hint="eastAsia" w:ascii="仿宋" w:hAnsi="仿宋" w:eastAsia="仿宋" w:cs="仿宋"/>
                <w:sz w:val="21"/>
                <w:szCs w:val="21"/>
              </w:rPr>
              <w:t>月-202</w:t>
            </w:r>
            <w:r>
              <w:rPr>
                <w:rFonts w:hint="eastAsia" w:ascii="仿宋" w:hAnsi="仿宋" w:eastAsia="仿宋" w:cs="仿宋"/>
                <w:sz w:val="21"/>
                <w:szCs w:val="21"/>
                <w:lang w:val="en-US" w:eastAsia="zh-CN"/>
              </w:rPr>
              <w:t>7</w:t>
            </w:r>
            <w:r>
              <w:rPr>
                <w:rFonts w:hint="eastAsia" w:ascii="仿宋" w:hAnsi="仿宋" w:eastAsia="仿宋" w:cs="仿宋"/>
                <w:sz w:val="21"/>
                <w:szCs w:val="21"/>
              </w:rPr>
              <w:t>年</w:t>
            </w:r>
            <w:r>
              <w:rPr>
                <w:rFonts w:hint="eastAsia" w:ascii="仿宋" w:hAnsi="仿宋" w:eastAsia="仿宋" w:cs="仿宋"/>
                <w:sz w:val="21"/>
                <w:szCs w:val="21"/>
                <w:lang w:val="en-US" w:eastAsia="zh-CN"/>
              </w:rPr>
              <w:t>4</w:t>
            </w:r>
            <w:r>
              <w:rPr>
                <w:rFonts w:hint="eastAsia" w:ascii="仿宋" w:hAnsi="仿宋" w:eastAsia="仿宋" w:cs="仿宋"/>
                <w:sz w:val="21"/>
                <w:szCs w:val="21"/>
              </w:rPr>
              <w:t>月</w:t>
            </w:r>
          </w:p>
        </w:tc>
        <w:tc>
          <w:tcPr>
            <w:tcW w:w="1557" w:type="dxa"/>
            <w:tcBorders>
              <w:tl2br w:val="nil"/>
              <w:tr2bl w:val="nil"/>
            </w:tcBorders>
            <w:tcMar>
              <w:top w:w="60" w:type="dxa"/>
              <w:left w:w="120" w:type="dxa"/>
              <w:bottom w:w="30" w:type="dxa"/>
              <w:right w:w="120" w:type="dxa"/>
            </w:tcMar>
          </w:tcPr>
          <w:p w14:paraId="2829CE63">
            <w:pPr>
              <w:pStyle w:val="18"/>
              <w:rPr>
                <w:rFonts w:hint="eastAsia" w:ascii="仿宋" w:hAnsi="仿宋" w:eastAsia="仿宋" w:cs="仿宋"/>
                <w:sz w:val="21"/>
                <w:szCs w:val="21"/>
              </w:rPr>
            </w:pPr>
            <w:r>
              <w:rPr>
                <w:rFonts w:hint="eastAsia" w:ascii="仿宋" w:hAnsi="仿宋" w:eastAsia="仿宋" w:cs="仿宋"/>
                <w:sz w:val="21"/>
                <w:szCs w:val="21"/>
              </w:rPr>
              <w:t>涵盖GNSS、倾角仪等监测技术，讲解基坑、建筑主体等专项监测流程，实操智能监测系统，掌握监测数据采集、分析、风险预警及监测报告编制能力</w:t>
            </w:r>
          </w:p>
        </w:tc>
      </w:tr>
      <w:tr w14:paraId="384D69E8">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23" w:type="dxa"/>
            <w:tcBorders>
              <w:tl2br w:val="nil"/>
              <w:tr2bl w:val="nil"/>
            </w:tcBorders>
            <w:tcMar>
              <w:top w:w="60" w:type="dxa"/>
              <w:left w:w="120" w:type="dxa"/>
              <w:bottom w:w="30" w:type="dxa"/>
              <w:right w:w="120" w:type="dxa"/>
            </w:tcMar>
          </w:tcPr>
          <w:p w14:paraId="00CA7938">
            <w:pPr>
              <w:pStyle w:val="18"/>
              <w:rPr>
                <w:rFonts w:hint="eastAsia" w:ascii="仿宋" w:hAnsi="仿宋" w:eastAsia="仿宋" w:cs="仿宋"/>
                <w:sz w:val="21"/>
                <w:szCs w:val="21"/>
              </w:rPr>
            </w:pPr>
            <w:r>
              <w:rPr>
                <w:rFonts w:hint="eastAsia" w:ascii="仿宋" w:hAnsi="仿宋" w:eastAsia="仿宋" w:cs="仿宋"/>
                <w:sz w:val="21"/>
                <w:szCs w:val="21"/>
              </w:rPr>
              <w:t>《建筑加固与修复技术》</w:t>
            </w:r>
          </w:p>
        </w:tc>
        <w:tc>
          <w:tcPr>
            <w:tcW w:w="947" w:type="dxa"/>
            <w:tcBorders>
              <w:tl2br w:val="nil"/>
              <w:tr2bl w:val="nil"/>
            </w:tcBorders>
            <w:tcMar>
              <w:top w:w="60" w:type="dxa"/>
              <w:left w:w="120" w:type="dxa"/>
              <w:bottom w:w="30" w:type="dxa"/>
              <w:right w:w="120" w:type="dxa"/>
            </w:tcMar>
          </w:tcPr>
          <w:p w14:paraId="3BE659FA">
            <w:pPr>
              <w:pStyle w:val="18"/>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48</w:t>
            </w:r>
          </w:p>
        </w:tc>
        <w:tc>
          <w:tcPr>
            <w:tcW w:w="680" w:type="dxa"/>
            <w:tcBorders>
              <w:tl2br w:val="nil"/>
              <w:tr2bl w:val="nil"/>
            </w:tcBorders>
            <w:tcMar>
              <w:top w:w="60" w:type="dxa"/>
              <w:left w:w="120" w:type="dxa"/>
              <w:bottom w:w="30" w:type="dxa"/>
              <w:right w:w="120" w:type="dxa"/>
            </w:tcMar>
          </w:tcPr>
          <w:p w14:paraId="43DC984B">
            <w:pPr>
              <w:pStyle w:val="18"/>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3</w:t>
            </w:r>
          </w:p>
        </w:tc>
        <w:tc>
          <w:tcPr>
            <w:tcW w:w="1594" w:type="dxa"/>
            <w:tcBorders>
              <w:tl2br w:val="nil"/>
              <w:tr2bl w:val="nil"/>
            </w:tcBorders>
            <w:tcMar>
              <w:top w:w="60" w:type="dxa"/>
              <w:left w:w="120" w:type="dxa"/>
              <w:bottom w:w="30" w:type="dxa"/>
              <w:right w:w="120" w:type="dxa"/>
            </w:tcMar>
          </w:tcPr>
          <w:p w14:paraId="2221F82D">
            <w:pPr>
              <w:pStyle w:val="18"/>
              <w:jc w:val="center"/>
              <w:rPr>
                <w:rFonts w:hint="eastAsia" w:ascii="仿宋" w:hAnsi="仿宋" w:eastAsia="仿宋" w:cs="仿宋"/>
                <w:sz w:val="21"/>
                <w:szCs w:val="21"/>
              </w:rPr>
            </w:pPr>
            <w:r>
              <w:rPr>
                <w:rFonts w:hint="eastAsia" w:ascii="仿宋" w:hAnsi="仿宋" w:eastAsia="仿宋" w:cs="仿宋"/>
                <w:sz w:val="21"/>
                <w:szCs w:val="21"/>
              </w:rPr>
              <w:t>线上 + 线下（理论授课 + 仿真实训）</w:t>
            </w:r>
          </w:p>
        </w:tc>
        <w:tc>
          <w:tcPr>
            <w:tcW w:w="1735" w:type="dxa"/>
            <w:tcBorders>
              <w:tl2br w:val="nil"/>
              <w:tr2bl w:val="nil"/>
            </w:tcBorders>
            <w:tcMar>
              <w:top w:w="60" w:type="dxa"/>
              <w:left w:w="120" w:type="dxa"/>
              <w:bottom w:w="30" w:type="dxa"/>
              <w:right w:w="120" w:type="dxa"/>
            </w:tcMar>
          </w:tcPr>
          <w:p w14:paraId="1C611FD5">
            <w:pPr>
              <w:pStyle w:val="18"/>
              <w:rPr>
                <w:rFonts w:hint="eastAsia" w:ascii="仿宋" w:hAnsi="仿宋" w:eastAsia="仿宋" w:cs="仿宋"/>
                <w:sz w:val="21"/>
                <w:szCs w:val="21"/>
              </w:rPr>
            </w:pPr>
            <w:r>
              <w:rPr>
                <w:rFonts w:hint="eastAsia" w:ascii="仿宋" w:hAnsi="仿宋" w:eastAsia="仿宋" w:cs="仿宋"/>
                <w:sz w:val="21"/>
                <w:szCs w:val="21"/>
              </w:rPr>
              <w:t>过程性评价（加固方案设计、施工模拟）+结果性评价（方案答辩+实操考核）</w:t>
            </w:r>
          </w:p>
        </w:tc>
        <w:tc>
          <w:tcPr>
            <w:tcW w:w="1184" w:type="dxa"/>
            <w:tcBorders>
              <w:tl2br w:val="nil"/>
              <w:tr2bl w:val="nil"/>
            </w:tcBorders>
            <w:tcMar>
              <w:top w:w="60" w:type="dxa"/>
              <w:left w:w="120" w:type="dxa"/>
              <w:bottom w:w="30" w:type="dxa"/>
              <w:right w:w="120" w:type="dxa"/>
            </w:tcMar>
          </w:tcPr>
          <w:p w14:paraId="4640771B">
            <w:pPr>
              <w:pStyle w:val="18"/>
              <w:rPr>
                <w:rFonts w:hint="eastAsia" w:ascii="仿宋" w:hAnsi="仿宋" w:eastAsia="仿宋" w:cs="仿宋"/>
                <w:sz w:val="21"/>
                <w:szCs w:val="21"/>
              </w:rPr>
            </w:pPr>
            <w:r>
              <w:rPr>
                <w:rFonts w:hint="eastAsia" w:ascii="仿宋" w:hAnsi="仿宋" w:eastAsia="仿宋" w:cs="仿宋"/>
                <w:sz w:val="21"/>
                <w:szCs w:val="21"/>
              </w:rPr>
              <w:t xml:space="preserve">2026 年 </w:t>
            </w:r>
            <w:r>
              <w:rPr>
                <w:rFonts w:hint="eastAsia" w:ascii="仿宋" w:hAnsi="仿宋" w:eastAsia="仿宋" w:cs="仿宋"/>
                <w:sz w:val="21"/>
                <w:szCs w:val="21"/>
                <w:lang w:val="en-US" w:eastAsia="zh-CN"/>
              </w:rPr>
              <w:t>5</w:t>
            </w:r>
            <w:r>
              <w:rPr>
                <w:rFonts w:hint="eastAsia" w:ascii="仿宋" w:hAnsi="仿宋" w:eastAsia="仿宋" w:cs="仿宋"/>
                <w:sz w:val="21"/>
                <w:szCs w:val="21"/>
              </w:rPr>
              <w:t>月-202</w:t>
            </w:r>
            <w:r>
              <w:rPr>
                <w:rFonts w:hint="eastAsia" w:ascii="仿宋" w:hAnsi="仿宋" w:eastAsia="仿宋" w:cs="仿宋"/>
                <w:sz w:val="21"/>
                <w:szCs w:val="21"/>
                <w:lang w:val="en-US" w:eastAsia="zh-CN"/>
              </w:rPr>
              <w:t>7</w:t>
            </w:r>
            <w:r>
              <w:rPr>
                <w:rFonts w:hint="eastAsia" w:ascii="仿宋" w:hAnsi="仿宋" w:eastAsia="仿宋" w:cs="仿宋"/>
                <w:sz w:val="21"/>
                <w:szCs w:val="21"/>
              </w:rPr>
              <w:t>年</w:t>
            </w:r>
            <w:r>
              <w:rPr>
                <w:rFonts w:hint="eastAsia" w:ascii="仿宋" w:hAnsi="仿宋" w:eastAsia="仿宋" w:cs="仿宋"/>
                <w:sz w:val="21"/>
                <w:szCs w:val="21"/>
                <w:lang w:val="en-US" w:eastAsia="zh-CN"/>
              </w:rPr>
              <w:t>4</w:t>
            </w:r>
            <w:r>
              <w:rPr>
                <w:rFonts w:hint="eastAsia" w:ascii="仿宋" w:hAnsi="仿宋" w:eastAsia="仿宋" w:cs="仿宋"/>
                <w:sz w:val="21"/>
                <w:szCs w:val="21"/>
              </w:rPr>
              <w:t>月</w:t>
            </w:r>
          </w:p>
        </w:tc>
        <w:tc>
          <w:tcPr>
            <w:tcW w:w="1557" w:type="dxa"/>
            <w:tcBorders>
              <w:tl2br w:val="nil"/>
              <w:tr2bl w:val="nil"/>
            </w:tcBorders>
            <w:tcMar>
              <w:top w:w="60" w:type="dxa"/>
              <w:left w:w="120" w:type="dxa"/>
              <w:bottom w:w="30" w:type="dxa"/>
              <w:right w:w="120" w:type="dxa"/>
            </w:tcMar>
          </w:tcPr>
          <w:p w14:paraId="44FAB807">
            <w:pPr>
              <w:pStyle w:val="18"/>
              <w:rPr>
                <w:rFonts w:hint="eastAsia" w:ascii="仿宋" w:hAnsi="仿宋" w:eastAsia="仿宋" w:cs="仿宋"/>
                <w:sz w:val="21"/>
                <w:szCs w:val="21"/>
              </w:rPr>
            </w:pPr>
            <w:r>
              <w:rPr>
                <w:rFonts w:hint="eastAsia" w:ascii="仿宋" w:hAnsi="仿宋" w:eastAsia="仿宋" w:cs="仿宋"/>
                <w:sz w:val="21"/>
                <w:szCs w:val="21"/>
              </w:rPr>
              <w:t>涵盖GNSS、倾角仪等监测技术，讲解基坑、建筑主体等专项监测流程，实操智能监测系统，掌握监测数据采集、分析、风险预警及监测报告编制能力</w:t>
            </w:r>
          </w:p>
        </w:tc>
      </w:tr>
      <w:tr w14:paraId="15EA422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23" w:type="dxa"/>
            <w:tcBorders>
              <w:tl2br w:val="nil"/>
              <w:tr2bl w:val="nil"/>
            </w:tcBorders>
            <w:tcMar>
              <w:top w:w="60" w:type="dxa"/>
              <w:left w:w="120" w:type="dxa"/>
              <w:bottom w:w="30" w:type="dxa"/>
              <w:right w:w="120" w:type="dxa"/>
            </w:tcMar>
          </w:tcPr>
          <w:p w14:paraId="4D120A28">
            <w:pPr>
              <w:pStyle w:val="18"/>
              <w:rPr>
                <w:rFonts w:hint="eastAsia" w:ascii="仿宋" w:hAnsi="仿宋" w:eastAsia="仿宋" w:cs="仿宋"/>
                <w:sz w:val="21"/>
                <w:szCs w:val="21"/>
              </w:rPr>
            </w:pPr>
            <w:r>
              <w:rPr>
                <w:rFonts w:hint="eastAsia" w:ascii="仿宋" w:hAnsi="仿宋" w:eastAsia="仿宋" w:cs="仿宋"/>
                <w:sz w:val="21"/>
                <w:szCs w:val="21"/>
              </w:rPr>
              <w:t>《建筑抗震》</w:t>
            </w:r>
          </w:p>
        </w:tc>
        <w:tc>
          <w:tcPr>
            <w:tcW w:w="947" w:type="dxa"/>
            <w:tcBorders>
              <w:tl2br w:val="nil"/>
              <w:tr2bl w:val="nil"/>
            </w:tcBorders>
            <w:tcMar>
              <w:top w:w="60" w:type="dxa"/>
              <w:left w:w="120" w:type="dxa"/>
              <w:bottom w:w="30" w:type="dxa"/>
              <w:right w:w="120" w:type="dxa"/>
            </w:tcMar>
          </w:tcPr>
          <w:p w14:paraId="665B282A">
            <w:pPr>
              <w:pStyle w:val="18"/>
              <w:jc w:val="center"/>
              <w:rPr>
                <w:rFonts w:hint="eastAsia" w:ascii="仿宋" w:hAnsi="仿宋" w:eastAsia="仿宋" w:cs="仿宋"/>
                <w:sz w:val="21"/>
                <w:szCs w:val="21"/>
              </w:rPr>
            </w:pPr>
            <w:r>
              <w:rPr>
                <w:rFonts w:hint="eastAsia" w:ascii="仿宋" w:hAnsi="仿宋" w:eastAsia="仿宋" w:cs="仿宋"/>
                <w:sz w:val="21"/>
                <w:szCs w:val="21"/>
              </w:rPr>
              <w:t>48</w:t>
            </w:r>
          </w:p>
        </w:tc>
        <w:tc>
          <w:tcPr>
            <w:tcW w:w="680" w:type="dxa"/>
            <w:tcBorders>
              <w:tl2br w:val="nil"/>
              <w:tr2bl w:val="nil"/>
            </w:tcBorders>
            <w:tcMar>
              <w:top w:w="60" w:type="dxa"/>
              <w:left w:w="120" w:type="dxa"/>
              <w:bottom w:w="30" w:type="dxa"/>
              <w:right w:w="120" w:type="dxa"/>
            </w:tcMar>
          </w:tcPr>
          <w:p w14:paraId="776CFB2E">
            <w:pPr>
              <w:pStyle w:val="18"/>
              <w:jc w:val="center"/>
              <w:rPr>
                <w:rFonts w:hint="eastAsia" w:ascii="仿宋" w:hAnsi="仿宋" w:eastAsia="仿宋" w:cs="仿宋"/>
                <w:sz w:val="21"/>
                <w:szCs w:val="21"/>
              </w:rPr>
            </w:pPr>
            <w:r>
              <w:rPr>
                <w:rFonts w:hint="eastAsia" w:ascii="仿宋" w:hAnsi="仿宋" w:eastAsia="仿宋" w:cs="仿宋"/>
                <w:sz w:val="21"/>
                <w:szCs w:val="21"/>
              </w:rPr>
              <w:t>3</w:t>
            </w:r>
          </w:p>
        </w:tc>
        <w:tc>
          <w:tcPr>
            <w:tcW w:w="1594" w:type="dxa"/>
            <w:tcBorders>
              <w:tl2br w:val="nil"/>
              <w:tr2bl w:val="nil"/>
            </w:tcBorders>
            <w:tcMar>
              <w:top w:w="60" w:type="dxa"/>
              <w:left w:w="120" w:type="dxa"/>
              <w:bottom w:w="30" w:type="dxa"/>
              <w:right w:w="120" w:type="dxa"/>
            </w:tcMar>
          </w:tcPr>
          <w:p w14:paraId="4B0156F9">
            <w:pPr>
              <w:pStyle w:val="18"/>
              <w:jc w:val="center"/>
              <w:rPr>
                <w:rFonts w:hint="eastAsia" w:ascii="仿宋" w:hAnsi="仿宋" w:eastAsia="仿宋" w:cs="仿宋"/>
                <w:sz w:val="21"/>
                <w:szCs w:val="21"/>
              </w:rPr>
            </w:pPr>
            <w:r>
              <w:rPr>
                <w:rFonts w:hint="eastAsia" w:ascii="仿宋" w:hAnsi="仿宋" w:eastAsia="仿宋" w:cs="仿宋"/>
                <w:sz w:val="21"/>
                <w:szCs w:val="21"/>
              </w:rPr>
              <w:t>线上 + 线下（理论授课 + 项目模拟）</w:t>
            </w:r>
          </w:p>
        </w:tc>
        <w:tc>
          <w:tcPr>
            <w:tcW w:w="1735" w:type="dxa"/>
            <w:tcBorders>
              <w:tl2br w:val="nil"/>
              <w:tr2bl w:val="nil"/>
            </w:tcBorders>
            <w:tcMar>
              <w:top w:w="60" w:type="dxa"/>
              <w:left w:w="120" w:type="dxa"/>
              <w:bottom w:w="30" w:type="dxa"/>
              <w:right w:w="120" w:type="dxa"/>
            </w:tcMar>
          </w:tcPr>
          <w:p w14:paraId="67022ED8">
            <w:pPr>
              <w:pStyle w:val="18"/>
              <w:rPr>
                <w:rFonts w:hint="eastAsia" w:ascii="仿宋" w:hAnsi="仿宋" w:eastAsia="仿宋" w:cs="仿宋"/>
                <w:sz w:val="21"/>
                <w:szCs w:val="21"/>
              </w:rPr>
            </w:pPr>
            <w:r>
              <w:rPr>
                <w:rFonts w:hint="eastAsia" w:ascii="仿宋" w:hAnsi="仿宋" w:eastAsia="仿宋" w:cs="仿宋"/>
                <w:sz w:val="21"/>
                <w:szCs w:val="21"/>
              </w:rPr>
              <w:t>过程性评价（课堂互动、案例作业）+ 结果性评价（理论考试）</w:t>
            </w:r>
          </w:p>
        </w:tc>
        <w:tc>
          <w:tcPr>
            <w:tcW w:w="1184" w:type="dxa"/>
            <w:tcBorders>
              <w:tl2br w:val="nil"/>
              <w:tr2bl w:val="nil"/>
            </w:tcBorders>
            <w:tcMar>
              <w:top w:w="60" w:type="dxa"/>
              <w:left w:w="120" w:type="dxa"/>
              <w:bottom w:w="30" w:type="dxa"/>
              <w:right w:w="120" w:type="dxa"/>
            </w:tcMar>
          </w:tcPr>
          <w:p w14:paraId="07166440">
            <w:pPr>
              <w:rPr>
                <w:rFonts w:hint="eastAsia" w:ascii="仿宋" w:hAnsi="仿宋" w:eastAsia="仿宋" w:cs="仿宋"/>
                <w:sz w:val="21"/>
                <w:szCs w:val="21"/>
              </w:rPr>
            </w:pPr>
            <w:r>
              <w:rPr>
                <w:rFonts w:hint="eastAsia" w:ascii="仿宋" w:hAnsi="仿宋" w:eastAsia="仿宋" w:cs="仿宋"/>
                <w:sz w:val="21"/>
                <w:szCs w:val="21"/>
              </w:rPr>
              <w:t xml:space="preserve">2026 年 </w:t>
            </w:r>
            <w:r>
              <w:rPr>
                <w:rFonts w:hint="eastAsia" w:ascii="仿宋" w:hAnsi="仿宋" w:eastAsia="仿宋" w:cs="仿宋"/>
                <w:sz w:val="21"/>
                <w:szCs w:val="21"/>
                <w:lang w:val="en-US" w:eastAsia="zh-CN"/>
              </w:rPr>
              <w:t>5</w:t>
            </w:r>
            <w:r>
              <w:rPr>
                <w:rFonts w:hint="eastAsia" w:ascii="仿宋" w:hAnsi="仿宋" w:eastAsia="仿宋" w:cs="仿宋"/>
                <w:sz w:val="21"/>
                <w:szCs w:val="21"/>
              </w:rPr>
              <w:t>月-202</w:t>
            </w:r>
            <w:r>
              <w:rPr>
                <w:rFonts w:hint="eastAsia" w:ascii="仿宋" w:hAnsi="仿宋" w:eastAsia="仿宋" w:cs="仿宋"/>
                <w:sz w:val="21"/>
                <w:szCs w:val="21"/>
                <w:lang w:val="en-US" w:eastAsia="zh-CN"/>
              </w:rPr>
              <w:t>7</w:t>
            </w:r>
            <w:r>
              <w:rPr>
                <w:rFonts w:hint="eastAsia" w:ascii="仿宋" w:hAnsi="仿宋" w:eastAsia="仿宋" w:cs="仿宋"/>
                <w:sz w:val="21"/>
                <w:szCs w:val="21"/>
              </w:rPr>
              <w:t>年</w:t>
            </w:r>
            <w:r>
              <w:rPr>
                <w:rFonts w:hint="eastAsia" w:ascii="仿宋" w:hAnsi="仿宋" w:eastAsia="仿宋" w:cs="仿宋"/>
                <w:sz w:val="21"/>
                <w:szCs w:val="21"/>
                <w:lang w:val="en-US" w:eastAsia="zh-CN"/>
              </w:rPr>
              <w:t>4</w:t>
            </w:r>
            <w:r>
              <w:rPr>
                <w:rFonts w:hint="eastAsia" w:ascii="仿宋" w:hAnsi="仿宋" w:eastAsia="仿宋" w:cs="仿宋"/>
                <w:sz w:val="21"/>
                <w:szCs w:val="21"/>
              </w:rPr>
              <w:t>月</w:t>
            </w:r>
          </w:p>
        </w:tc>
        <w:tc>
          <w:tcPr>
            <w:tcW w:w="1557" w:type="dxa"/>
            <w:tcBorders>
              <w:tl2br w:val="nil"/>
              <w:tr2bl w:val="nil"/>
            </w:tcBorders>
            <w:tcMar>
              <w:top w:w="60" w:type="dxa"/>
              <w:left w:w="120" w:type="dxa"/>
              <w:bottom w:w="30" w:type="dxa"/>
              <w:right w:w="120" w:type="dxa"/>
            </w:tcMar>
          </w:tcPr>
          <w:p w14:paraId="2A596E47">
            <w:pPr>
              <w:pStyle w:val="18"/>
              <w:rPr>
                <w:rFonts w:hint="eastAsia" w:ascii="仿宋" w:hAnsi="仿宋" w:eastAsia="仿宋" w:cs="仿宋"/>
                <w:sz w:val="21"/>
                <w:szCs w:val="21"/>
              </w:rPr>
            </w:pPr>
            <w:r>
              <w:rPr>
                <w:rFonts w:hint="eastAsia" w:ascii="仿宋" w:hAnsi="仿宋" w:eastAsia="仿宋" w:cs="仿宋"/>
                <w:sz w:val="21"/>
                <w:szCs w:val="21"/>
              </w:rPr>
              <w:t>讲授抗震原理、鉴定方法及加固修复技术，结合规范与工程案例应用</w:t>
            </w:r>
          </w:p>
        </w:tc>
      </w:tr>
    </w:tbl>
    <w:p w14:paraId="2A084107">
      <w:pPr>
        <w:pStyle w:val="5"/>
        <w:spacing w:before="0" w:after="0" w:line="560" w:lineRule="exact"/>
        <w:ind w:firstLine="640" w:firstLineChars="200"/>
        <w:rPr>
          <w:rFonts w:ascii="Times New Roman" w:hAnsi="Times New Roman" w:eastAsia="仿宋_GB2312" w:cs="Times New Roman"/>
          <w:b w:val="0"/>
          <w:bCs w:val="0"/>
          <w:color w:val="333333"/>
          <w:sz w:val="32"/>
          <w:szCs w:val="32"/>
          <w:shd w:val="clear" w:color="auto" w:fill="FFFFFF"/>
          <w:lang w:bidi="ar"/>
        </w:rPr>
      </w:pPr>
      <w:r>
        <w:rPr>
          <w:rFonts w:hint="eastAsia" w:ascii="Times New Roman" w:hAnsi="Times New Roman" w:eastAsia="仿宋_GB2312" w:cs="Times New Roman"/>
          <w:b w:val="0"/>
          <w:bCs w:val="0"/>
          <w:color w:val="333333"/>
          <w:sz w:val="32"/>
          <w:szCs w:val="32"/>
          <w:shd w:val="clear" w:color="auto" w:fill="FFFFFF"/>
          <w:lang w:bidi="ar"/>
        </w:rPr>
        <w:t>（二）招生计划</w:t>
      </w:r>
    </w:p>
    <w:p w14:paraId="268F6FED">
      <w:pPr>
        <w:pStyle w:val="18"/>
        <w:spacing w:before="0" w:after="0" w:line="560" w:lineRule="exact"/>
        <w:ind w:firstLine="640" w:firstLineChars="200"/>
        <w:rPr>
          <w:rFonts w:ascii="仿宋_GB2312" w:hAnsi="宋体" w:eastAsia="仿宋_GB2312" w:cs="仿宋_GB2312"/>
          <w:color w:val="000000"/>
          <w:sz w:val="32"/>
          <w:szCs w:val="32"/>
          <w:lang w:bidi="ar"/>
        </w:rPr>
      </w:pPr>
      <w:r>
        <w:rPr>
          <w:rFonts w:hint="eastAsia" w:ascii="仿宋_GB2312" w:hAnsi="宋体" w:eastAsia="仿宋_GB2312" w:cs="仿宋_GB2312"/>
          <w:color w:val="000000"/>
          <w:sz w:val="32"/>
          <w:szCs w:val="32"/>
          <w:lang w:bidi="ar"/>
        </w:rPr>
        <w:t>该微专业面向我校202</w:t>
      </w:r>
      <w:r>
        <w:rPr>
          <w:rFonts w:ascii="仿宋_GB2312" w:hAnsi="宋体" w:eastAsia="仿宋_GB2312" w:cs="仿宋_GB2312"/>
          <w:color w:val="000000"/>
          <w:sz w:val="32"/>
          <w:szCs w:val="32"/>
          <w:lang w:bidi="ar"/>
        </w:rPr>
        <w:t>4</w:t>
      </w:r>
      <w:r>
        <w:rPr>
          <w:rFonts w:hint="eastAsia" w:ascii="仿宋_GB2312" w:hAnsi="宋体" w:eastAsia="仿宋_GB2312" w:cs="仿宋_GB2312"/>
          <w:color w:val="000000"/>
          <w:sz w:val="32"/>
          <w:szCs w:val="32"/>
          <w:lang w:bidi="ar"/>
        </w:rPr>
        <w:t>级学生招生，本届招生规模为</w:t>
      </w:r>
      <w:r>
        <w:rPr>
          <w:rFonts w:hint="eastAsia" w:ascii="仿宋_GB2312" w:hAnsi="宋体" w:eastAsia="仿宋_GB2312" w:cs="仿宋_GB2312"/>
          <w:color w:val="000000"/>
          <w:sz w:val="32"/>
          <w:szCs w:val="32"/>
          <w:lang w:val="en-US" w:eastAsia="zh-CN" w:bidi="ar"/>
        </w:rPr>
        <w:t>50</w:t>
      </w:r>
      <w:r>
        <w:rPr>
          <w:rFonts w:hint="eastAsia" w:ascii="仿宋_GB2312" w:hAnsi="宋体" w:eastAsia="仿宋_GB2312" w:cs="仿宋_GB2312"/>
          <w:color w:val="000000"/>
          <w:sz w:val="32"/>
          <w:szCs w:val="32"/>
          <w:lang w:bidi="ar"/>
        </w:rPr>
        <w:t>人，低</w:t>
      </w:r>
      <w:r>
        <w:rPr>
          <w:rFonts w:hint="eastAsia" w:ascii="仿宋_GB2312" w:hAnsi="宋体" w:eastAsia="仿宋_GB2312" w:cs="仿宋_GB2312"/>
          <w:color w:val="000000"/>
          <w:sz w:val="32"/>
          <w:szCs w:val="32"/>
          <w:lang w:val="en-US" w:eastAsia="zh-CN" w:bidi="ar"/>
        </w:rPr>
        <w:t>3</w:t>
      </w:r>
      <w:r>
        <w:rPr>
          <w:rFonts w:ascii="仿宋_GB2312" w:hAnsi="宋体" w:eastAsia="仿宋_GB2312" w:cs="仿宋_GB2312"/>
          <w:color w:val="000000"/>
          <w:sz w:val="32"/>
          <w:szCs w:val="32"/>
          <w:lang w:bidi="ar"/>
        </w:rPr>
        <w:t>0</w:t>
      </w:r>
      <w:r>
        <w:rPr>
          <w:rFonts w:hint="eastAsia" w:ascii="仿宋_GB2312" w:hAnsi="宋体" w:eastAsia="仿宋_GB2312" w:cs="仿宋_GB2312"/>
          <w:color w:val="000000"/>
          <w:sz w:val="32"/>
          <w:szCs w:val="32"/>
          <w:lang w:bidi="ar"/>
        </w:rPr>
        <w:t>人不开班。</w:t>
      </w:r>
    </w:p>
    <w:p w14:paraId="2064342D">
      <w:pPr>
        <w:pStyle w:val="5"/>
        <w:spacing w:before="0" w:after="0" w:line="560" w:lineRule="exact"/>
        <w:ind w:firstLine="640" w:firstLineChars="200"/>
        <w:rPr>
          <w:rFonts w:ascii="Times New Roman" w:hAnsi="Times New Roman" w:eastAsia="仿宋_GB2312" w:cs="Times New Roman"/>
          <w:b w:val="0"/>
          <w:bCs w:val="0"/>
          <w:color w:val="333333"/>
          <w:sz w:val="32"/>
          <w:szCs w:val="32"/>
          <w:shd w:val="clear" w:color="auto" w:fill="FFFFFF"/>
          <w:lang w:bidi="ar"/>
        </w:rPr>
      </w:pPr>
      <w:r>
        <w:rPr>
          <w:rFonts w:ascii="Times New Roman" w:hAnsi="Times New Roman" w:eastAsia="仿宋_GB2312" w:cs="Times New Roman"/>
          <w:b w:val="0"/>
          <w:bCs w:val="0"/>
          <w:color w:val="333333"/>
          <w:sz w:val="32"/>
          <w:szCs w:val="32"/>
          <w:shd w:val="clear" w:color="auto" w:fill="FFFFFF"/>
          <w:lang w:bidi="ar"/>
        </w:rPr>
        <w:t>（</w:t>
      </w:r>
      <w:r>
        <w:rPr>
          <w:rFonts w:hint="eastAsia" w:ascii="Times New Roman" w:hAnsi="Times New Roman" w:eastAsia="仿宋_GB2312" w:cs="Times New Roman"/>
          <w:b w:val="0"/>
          <w:bCs w:val="0"/>
          <w:color w:val="333333"/>
          <w:sz w:val="32"/>
          <w:szCs w:val="32"/>
          <w:shd w:val="clear" w:color="auto" w:fill="FFFFFF"/>
          <w:lang w:bidi="ar"/>
        </w:rPr>
        <w:t>三</w:t>
      </w:r>
      <w:r>
        <w:rPr>
          <w:rFonts w:ascii="Times New Roman" w:hAnsi="Times New Roman" w:eastAsia="仿宋_GB2312" w:cs="Times New Roman"/>
          <w:b w:val="0"/>
          <w:bCs w:val="0"/>
          <w:color w:val="333333"/>
          <w:sz w:val="32"/>
          <w:szCs w:val="32"/>
          <w:shd w:val="clear" w:color="auto" w:fill="FFFFFF"/>
          <w:lang w:bidi="ar"/>
        </w:rPr>
        <w:t>）证书发放</w:t>
      </w:r>
    </w:p>
    <w:p w14:paraId="022B2285">
      <w:pPr>
        <w:pStyle w:val="9"/>
        <w:widowControl/>
        <w:spacing w:beforeAutospacing="0" w:afterAutospacing="0" w:line="560" w:lineRule="exact"/>
        <w:ind w:firstLine="640" w:firstLineChars="200"/>
        <w:rPr>
          <w:rFonts w:hint="eastAsia" w:ascii="Times New Roman" w:hAnsi="Times New Roman" w:eastAsia="仿宋_GB2312"/>
          <w:color w:val="333333"/>
          <w:sz w:val="32"/>
          <w:szCs w:val="32"/>
          <w:shd w:val="clear" w:color="auto" w:fill="FFFFFF"/>
        </w:rPr>
      </w:pPr>
      <w:r>
        <w:rPr>
          <w:rFonts w:hint="eastAsia" w:ascii="Times New Roman" w:hAnsi="Times New Roman" w:eastAsia="仿宋_GB2312"/>
          <w:color w:val="333333"/>
          <w:sz w:val="32"/>
          <w:szCs w:val="32"/>
          <w:shd w:val="clear" w:color="auto" w:fill="FFFFFF"/>
        </w:rPr>
        <w:t>职业技能证书：学生完成课程学习后，可报考建筑信息模型（BIM）技术员等本专业相关职业技能等级证书，学院提供专项辅导，助力证书考取。</w:t>
      </w:r>
    </w:p>
    <w:p w14:paraId="11C19908">
      <w:pPr>
        <w:pStyle w:val="9"/>
        <w:widowControl/>
        <w:spacing w:beforeAutospacing="0" w:afterAutospacing="0" w:line="560" w:lineRule="exact"/>
        <w:ind w:firstLine="640" w:firstLineChars="200"/>
        <w:rPr>
          <w:rFonts w:hint="eastAsia" w:ascii="Times New Roman" w:hAnsi="Times New Roman" w:eastAsia="仿宋_GB2312"/>
          <w:color w:val="333333"/>
          <w:sz w:val="32"/>
          <w:szCs w:val="32"/>
          <w:shd w:val="clear" w:color="auto" w:fill="FFFFFF"/>
        </w:rPr>
      </w:pPr>
      <w:r>
        <w:rPr>
          <w:rFonts w:hint="eastAsia" w:ascii="Times New Roman" w:hAnsi="Times New Roman" w:eastAsia="仿宋_GB2312"/>
          <w:color w:val="333333"/>
          <w:sz w:val="32"/>
          <w:szCs w:val="32"/>
          <w:shd w:val="clear" w:color="auto" w:fill="FFFFFF"/>
        </w:rPr>
        <w:t>微专业证书：学生修满本微专业1</w:t>
      </w:r>
      <w:r>
        <w:rPr>
          <w:rFonts w:hint="eastAsia" w:ascii="Times New Roman" w:hAnsi="Times New Roman" w:eastAsia="仿宋_GB2312"/>
          <w:color w:val="333333"/>
          <w:sz w:val="32"/>
          <w:szCs w:val="32"/>
          <w:shd w:val="clear" w:color="auto" w:fill="FFFFFF"/>
          <w:lang w:val="en-US" w:eastAsia="zh-CN"/>
        </w:rPr>
        <w:t>2</w:t>
      </w:r>
      <w:r>
        <w:rPr>
          <w:rFonts w:hint="eastAsia" w:ascii="Times New Roman" w:hAnsi="Times New Roman" w:eastAsia="仿宋_GB2312"/>
          <w:color w:val="333333"/>
          <w:sz w:val="32"/>
          <w:szCs w:val="32"/>
          <w:shd w:val="clear" w:color="auto" w:fill="FFFFFF"/>
        </w:rPr>
        <w:t>学分且所有课程考核合格，经二级学院审核、教务处审定后，颁发建筑加固与修复技术微专业证书。</w:t>
      </w:r>
    </w:p>
    <w:p w14:paraId="1AA6B213">
      <w:pPr>
        <w:pStyle w:val="4"/>
        <w:widowControl/>
        <w:spacing w:before="0" w:after="0" w:line="560" w:lineRule="exact"/>
        <w:ind w:firstLine="640" w:firstLineChars="200"/>
      </w:pPr>
      <w:r>
        <w:t>三、报名基本条件</w:t>
      </w:r>
    </w:p>
    <w:p w14:paraId="7AF2E43F">
      <w:pPr>
        <w:pStyle w:val="9"/>
        <w:widowControl/>
        <w:spacing w:beforeAutospacing="0" w:afterAutospacing="0" w:line="560" w:lineRule="exact"/>
        <w:ind w:firstLine="640" w:firstLineChars="200"/>
        <w:rPr>
          <w:rFonts w:ascii="Times New Roman" w:hAnsi="Times New Roman" w:eastAsia="仿宋_GB2312"/>
          <w:color w:val="333333"/>
          <w:sz w:val="32"/>
          <w:szCs w:val="32"/>
          <w:shd w:val="clear" w:color="auto" w:fill="FFFFFF"/>
        </w:rPr>
      </w:pPr>
      <w:r>
        <w:rPr>
          <w:rFonts w:ascii="Times New Roman" w:hAnsi="Times New Roman" w:eastAsia="仿宋_GB2312"/>
          <w:color w:val="333333"/>
          <w:sz w:val="32"/>
          <w:szCs w:val="32"/>
          <w:shd w:val="clear" w:color="auto" w:fill="FFFFFF"/>
        </w:rPr>
        <w:t>1.具有我校学籍的</w:t>
      </w:r>
      <w:r>
        <w:rPr>
          <w:rFonts w:hint="eastAsia" w:ascii="Times New Roman" w:hAnsi="Times New Roman" w:eastAsia="仿宋_GB2312"/>
          <w:color w:val="333333"/>
          <w:sz w:val="32"/>
          <w:szCs w:val="32"/>
          <w:shd w:val="clear" w:color="auto" w:fill="FFFFFF"/>
        </w:rPr>
        <w:t>202</w:t>
      </w:r>
      <w:r>
        <w:rPr>
          <w:rFonts w:ascii="Times New Roman" w:hAnsi="Times New Roman" w:eastAsia="仿宋_GB2312"/>
          <w:color w:val="333333"/>
          <w:sz w:val="32"/>
          <w:szCs w:val="32"/>
          <w:shd w:val="clear" w:color="auto" w:fill="FFFFFF"/>
        </w:rPr>
        <w:t>4</w:t>
      </w:r>
      <w:r>
        <w:rPr>
          <w:rFonts w:hint="eastAsia" w:ascii="Times New Roman" w:hAnsi="Times New Roman" w:eastAsia="仿宋_GB2312"/>
          <w:color w:val="333333"/>
          <w:sz w:val="32"/>
          <w:szCs w:val="32"/>
          <w:shd w:val="clear" w:color="auto" w:fill="FFFFFF"/>
        </w:rPr>
        <w:t>级</w:t>
      </w:r>
      <w:r>
        <w:rPr>
          <w:rFonts w:ascii="Times New Roman" w:hAnsi="Times New Roman" w:eastAsia="仿宋_GB2312"/>
          <w:color w:val="333333"/>
          <w:sz w:val="32"/>
          <w:szCs w:val="32"/>
          <w:shd w:val="clear" w:color="auto" w:fill="FFFFFF"/>
        </w:rPr>
        <w:t>在校生；</w:t>
      </w:r>
    </w:p>
    <w:p w14:paraId="1CE8D6E7">
      <w:pPr>
        <w:pStyle w:val="9"/>
        <w:widowControl/>
        <w:spacing w:beforeAutospacing="0" w:afterAutospacing="0" w:line="560" w:lineRule="exact"/>
        <w:ind w:firstLine="640" w:firstLineChars="200"/>
        <w:rPr>
          <w:rFonts w:ascii="Times New Roman" w:hAnsi="Times New Roman" w:eastAsia="仿宋_GB2312"/>
          <w:color w:val="333333"/>
          <w:sz w:val="32"/>
          <w:szCs w:val="32"/>
          <w:shd w:val="clear" w:color="auto" w:fill="FFFFFF"/>
        </w:rPr>
      </w:pPr>
      <w:r>
        <w:rPr>
          <w:rFonts w:ascii="Times New Roman" w:hAnsi="Times New Roman" w:eastAsia="仿宋_GB2312"/>
          <w:color w:val="333333"/>
          <w:sz w:val="32"/>
          <w:szCs w:val="32"/>
          <w:shd w:val="clear" w:color="auto" w:fill="FFFFFF"/>
        </w:rPr>
        <w:t>2.所申请微专业的修读年限不可晚于主修专业预计毕业日期；</w:t>
      </w:r>
    </w:p>
    <w:p w14:paraId="4B8F9898">
      <w:pPr>
        <w:pStyle w:val="9"/>
        <w:widowControl/>
        <w:spacing w:beforeAutospacing="0" w:afterAutospacing="0" w:line="560" w:lineRule="exact"/>
        <w:ind w:firstLine="640" w:firstLineChars="200"/>
        <w:rPr>
          <w:rFonts w:ascii="Times New Roman" w:hAnsi="Times New Roman" w:eastAsia="仿宋_GB2312"/>
          <w:color w:val="333333"/>
          <w:sz w:val="32"/>
          <w:szCs w:val="32"/>
          <w:shd w:val="clear" w:color="auto" w:fill="FFFFFF"/>
        </w:rPr>
      </w:pPr>
      <w:r>
        <w:rPr>
          <w:rFonts w:ascii="Times New Roman" w:hAnsi="Times New Roman" w:eastAsia="仿宋_GB2312"/>
          <w:color w:val="333333"/>
          <w:sz w:val="32"/>
          <w:szCs w:val="32"/>
          <w:shd w:val="clear" w:color="auto" w:fill="FFFFFF"/>
        </w:rPr>
        <w:t>3.同一时间段内每个学生只能申请一个微专业进行修读。</w:t>
      </w:r>
    </w:p>
    <w:p w14:paraId="74D4F16C">
      <w:pPr>
        <w:pStyle w:val="9"/>
        <w:widowControl/>
        <w:spacing w:beforeAutospacing="0" w:afterAutospacing="0" w:line="560" w:lineRule="exact"/>
        <w:ind w:firstLine="640" w:firstLineChars="200"/>
        <w:rPr>
          <w:rFonts w:ascii="Times New Roman" w:hAnsi="Times New Roman" w:eastAsia="仿宋_GB2312"/>
          <w:color w:val="333333"/>
          <w:sz w:val="32"/>
          <w:szCs w:val="32"/>
          <w:shd w:val="clear" w:color="auto" w:fill="FFFFFF"/>
        </w:rPr>
      </w:pPr>
      <w:r>
        <w:rPr>
          <w:rFonts w:hint="eastAsia" w:ascii="Times New Roman" w:hAnsi="Times New Roman" w:eastAsia="仿宋_GB2312"/>
          <w:color w:val="333333"/>
          <w:sz w:val="32"/>
          <w:szCs w:val="32"/>
          <w:shd w:val="clear" w:color="auto" w:fill="FFFFFF"/>
        </w:rPr>
        <w:t>4.</w:t>
      </w:r>
      <w:r>
        <w:rPr>
          <w:rFonts w:ascii="Times New Roman" w:hAnsi="Times New Roman" w:eastAsia="仿宋_GB2312"/>
          <w:color w:val="333333"/>
          <w:sz w:val="32"/>
          <w:szCs w:val="32"/>
          <w:shd w:val="clear" w:color="auto" w:fill="FFFFFF"/>
        </w:rPr>
        <w:t>学生</w:t>
      </w:r>
      <w:r>
        <w:rPr>
          <w:rFonts w:hint="eastAsia" w:ascii="Times New Roman" w:hAnsi="Times New Roman" w:eastAsia="仿宋_GB2312"/>
          <w:color w:val="333333"/>
          <w:sz w:val="32"/>
          <w:szCs w:val="32"/>
          <w:shd w:val="clear" w:color="auto" w:fill="FFFFFF"/>
        </w:rPr>
        <w:t>对建筑工程检测、加固修复领域有浓厚兴趣，具备一定的工程识图、逻辑分析能力，动手实践能力较强，愿意从事</w:t>
      </w:r>
      <w:r>
        <w:rPr>
          <w:rFonts w:hint="eastAsia" w:ascii="Times New Roman" w:hAnsi="Times New Roman" w:eastAsia="仿宋_GB2312"/>
          <w:color w:val="333333"/>
          <w:sz w:val="32"/>
          <w:szCs w:val="32"/>
          <w:shd w:val="clear" w:color="auto" w:fill="FFFFFF"/>
          <w:lang w:val="en-US" w:eastAsia="zh-CN"/>
        </w:rPr>
        <w:t>城市更新领域</w:t>
      </w:r>
      <w:r>
        <w:rPr>
          <w:rFonts w:hint="eastAsia" w:ascii="Times New Roman" w:hAnsi="Times New Roman" w:eastAsia="仿宋_GB2312"/>
          <w:color w:val="333333"/>
          <w:sz w:val="32"/>
          <w:szCs w:val="32"/>
          <w:shd w:val="clear" w:color="auto" w:fill="FFFFFF"/>
        </w:rPr>
        <w:t>相关工作。</w:t>
      </w:r>
    </w:p>
    <w:p w14:paraId="275B42C8">
      <w:pPr>
        <w:pStyle w:val="4"/>
        <w:widowControl/>
        <w:spacing w:before="0" w:after="0" w:line="560" w:lineRule="exact"/>
        <w:ind w:firstLine="640" w:firstLineChars="200"/>
      </w:pPr>
      <w:r>
        <w:t>四、报名程序</w:t>
      </w:r>
    </w:p>
    <w:p w14:paraId="63C81B02">
      <w:pPr>
        <w:pStyle w:val="5"/>
        <w:spacing w:before="0" w:after="0" w:line="560" w:lineRule="exact"/>
        <w:ind w:firstLine="640" w:firstLineChars="200"/>
        <w:rPr>
          <w:rFonts w:ascii="Times New Roman" w:hAnsi="Times New Roman" w:eastAsia="仿宋_GB2312" w:cs="Times New Roman"/>
          <w:b w:val="0"/>
          <w:bCs w:val="0"/>
          <w:color w:val="333333"/>
          <w:sz w:val="32"/>
          <w:szCs w:val="32"/>
          <w:shd w:val="clear" w:color="auto" w:fill="FFFFFF"/>
          <w:lang w:bidi="ar"/>
        </w:rPr>
      </w:pPr>
      <w:r>
        <w:rPr>
          <w:rFonts w:ascii="Times New Roman" w:hAnsi="Times New Roman" w:eastAsia="仿宋_GB2312" w:cs="Times New Roman"/>
          <w:b w:val="0"/>
          <w:bCs w:val="0"/>
          <w:color w:val="333333"/>
          <w:sz w:val="32"/>
          <w:szCs w:val="32"/>
          <w:shd w:val="clear" w:color="auto" w:fill="FFFFFF"/>
          <w:lang w:bidi="ar"/>
        </w:rPr>
        <w:t>（一）报名时间</w:t>
      </w:r>
      <w:r>
        <w:rPr>
          <w:rFonts w:hint="eastAsia" w:ascii="Times New Roman" w:hAnsi="Times New Roman" w:eastAsia="仿宋_GB2312" w:cs="Times New Roman"/>
          <w:b w:val="0"/>
          <w:bCs w:val="0"/>
          <w:color w:val="333333"/>
          <w:sz w:val="32"/>
          <w:szCs w:val="32"/>
          <w:shd w:val="clear" w:color="auto" w:fill="FFFFFF"/>
          <w:lang w:bidi="ar"/>
        </w:rPr>
        <w:t>及报名方式</w:t>
      </w:r>
    </w:p>
    <w:p w14:paraId="76111FD8">
      <w:pPr>
        <w:pStyle w:val="18"/>
        <w:spacing w:before="0" w:after="0" w:line="560" w:lineRule="exact"/>
        <w:ind w:firstLine="640" w:firstLineChars="200"/>
        <w:rPr>
          <w:rFonts w:ascii="Times New Roman" w:hAnsi="Times New Roman" w:eastAsia="仿宋_GB2312" w:cs="Times New Roman"/>
          <w:color w:val="333333"/>
          <w:sz w:val="32"/>
          <w:szCs w:val="32"/>
          <w:shd w:val="clear" w:color="auto" w:fill="FFFFFF"/>
          <w:lang w:bidi="ar"/>
        </w:rPr>
      </w:pPr>
      <w:r>
        <w:rPr>
          <w:rFonts w:hint="eastAsia" w:ascii="仿宋_GB2312" w:hAnsi="仿宋_GB2312" w:eastAsia="仿宋_GB2312" w:cs="仿宋_GB2312"/>
          <w:color w:val="333333"/>
          <w:sz w:val="32"/>
          <w:szCs w:val="32"/>
          <w:shd w:val="clear" w:color="auto" w:fill="FFFFFF"/>
        </w:rPr>
        <w:t>请报名的学生填写《天津滨海职业学院微专业报名表》，</w:t>
      </w:r>
      <w:r>
        <w:rPr>
          <w:rFonts w:hint="eastAsia" w:ascii="仿宋_GB2312" w:hAnsi="仿宋_GB2312" w:eastAsia="仿宋_GB2312" w:cs="仿宋_GB2312"/>
          <w:color w:val="333333"/>
          <w:sz w:val="32"/>
          <w:szCs w:val="32"/>
          <w:shd w:val="clear" w:color="auto" w:fill="FFFFFF"/>
          <w:lang w:val="en-US" w:eastAsia="zh-CN"/>
        </w:rPr>
        <w:t>5</w:t>
      </w:r>
      <w:r>
        <w:rPr>
          <w:rFonts w:hint="eastAsia" w:ascii="仿宋_GB2312" w:hAnsi="仿宋_GB2312" w:eastAsia="仿宋_GB2312" w:cs="仿宋_GB2312"/>
          <w:color w:val="333333"/>
          <w:sz w:val="32"/>
          <w:szCs w:val="32"/>
          <w:shd w:val="clear" w:color="auto" w:fill="FFFFFF"/>
        </w:rPr>
        <w:t>月</w:t>
      </w:r>
      <w:r>
        <w:rPr>
          <w:rFonts w:hint="eastAsia" w:ascii="仿宋_GB2312" w:hAnsi="仿宋_GB2312" w:eastAsia="仿宋_GB2312" w:cs="仿宋_GB2312"/>
          <w:color w:val="333333"/>
          <w:sz w:val="32"/>
          <w:szCs w:val="32"/>
          <w:shd w:val="clear" w:color="auto" w:fill="FFFFFF"/>
          <w:lang w:val="en-US" w:eastAsia="zh-CN"/>
        </w:rPr>
        <w:t>17</w:t>
      </w:r>
      <w:r>
        <w:rPr>
          <w:rFonts w:hint="eastAsia" w:ascii="仿宋_GB2312" w:hAnsi="仿宋_GB2312" w:eastAsia="仿宋_GB2312" w:cs="仿宋_GB2312"/>
          <w:color w:val="333333"/>
          <w:sz w:val="32"/>
          <w:szCs w:val="32"/>
          <w:shd w:val="clear" w:color="auto" w:fill="FFFFFF"/>
        </w:rPr>
        <w:t>日前将</w:t>
      </w:r>
      <w:r>
        <w:rPr>
          <w:rFonts w:hint="eastAsia" w:ascii="仿宋_GB2312" w:hAnsi="宋体" w:eastAsia="仿宋_GB2312" w:cs="仿宋_GB2312"/>
          <w:color w:val="000000"/>
          <w:sz w:val="32"/>
          <w:szCs w:val="32"/>
          <w:lang w:bidi="ar"/>
        </w:rPr>
        <w:t>报名表及相关证明材料发送至</w:t>
      </w:r>
      <w:r>
        <w:fldChar w:fldCharType="begin"/>
      </w:r>
      <w:r>
        <w:instrText xml:space="preserve"> HYPERLINK "mailto:29520972@qq.com" </w:instrText>
      </w:r>
      <w:r>
        <w:fldChar w:fldCharType="separate"/>
      </w:r>
      <w:r>
        <w:rPr>
          <w:rStyle w:val="14"/>
          <w:rFonts w:ascii="仿宋_GB2312" w:hAnsi="宋体" w:eastAsia="仿宋_GB2312" w:cs="仿宋_GB2312"/>
          <w:sz w:val="32"/>
          <w:szCs w:val="32"/>
          <w:lang w:bidi="ar"/>
        </w:rPr>
        <w:t>29520972</w:t>
      </w:r>
      <w:r>
        <w:rPr>
          <w:rStyle w:val="14"/>
          <w:rFonts w:hint="eastAsia" w:ascii="仿宋_GB2312" w:hAnsi="宋体" w:eastAsia="仿宋_GB2312" w:cs="仿宋_GB2312"/>
          <w:sz w:val="32"/>
          <w:szCs w:val="32"/>
          <w:lang w:bidi="ar"/>
        </w:rPr>
        <w:t>@qq.com</w:t>
      </w:r>
      <w:r>
        <w:rPr>
          <w:rStyle w:val="14"/>
          <w:rFonts w:hint="eastAsia" w:ascii="仿宋_GB2312" w:hAnsi="宋体" w:eastAsia="仿宋_GB2312" w:cs="仿宋_GB2312"/>
          <w:sz w:val="32"/>
          <w:szCs w:val="32"/>
          <w:lang w:bidi="ar"/>
        </w:rPr>
        <w:fldChar w:fldCharType="end"/>
      </w:r>
      <w:r>
        <w:rPr>
          <w:rFonts w:hint="eastAsia" w:ascii="仿宋_GB2312" w:hAnsi="宋体" w:eastAsia="仿宋_GB2312" w:cs="仿宋_GB2312"/>
          <w:color w:val="000000"/>
          <w:sz w:val="32"/>
          <w:szCs w:val="32"/>
          <w:lang w:bidi="ar"/>
        </w:rPr>
        <w:t xml:space="preserve"> ，</w:t>
      </w:r>
      <w:r>
        <w:rPr>
          <w:rFonts w:hint="eastAsia" w:ascii="仿宋_GB2312" w:hAnsi="仿宋_GB2312" w:eastAsia="仿宋_GB2312" w:cs="仿宋_GB2312"/>
          <w:color w:val="333333"/>
          <w:sz w:val="32"/>
          <w:szCs w:val="32"/>
          <w:shd w:val="clear" w:color="auto" w:fill="FFFFFF"/>
        </w:rPr>
        <w:t>邮件主题命名为“建筑加固与修复技术微专业+姓名+专业+学号”，由智慧建造学院负责审核报名材料。</w:t>
      </w:r>
    </w:p>
    <w:p w14:paraId="624080C6">
      <w:pPr>
        <w:pStyle w:val="5"/>
        <w:spacing w:before="0" w:after="0" w:line="560" w:lineRule="exact"/>
        <w:ind w:firstLine="640" w:firstLineChars="200"/>
        <w:rPr>
          <w:rFonts w:ascii="Times New Roman" w:hAnsi="Times New Roman" w:eastAsia="仿宋_GB2312" w:cs="Times New Roman"/>
          <w:b w:val="0"/>
          <w:bCs w:val="0"/>
          <w:color w:val="333333"/>
          <w:sz w:val="32"/>
          <w:szCs w:val="32"/>
          <w:shd w:val="clear" w:color="auto" w:fill="FFFFFF"/>
          <w:lang w:bidi="ar"/>
        </w:rPr>
      </w:pPr>
      <w:r>
        <w:rPr>
          <w:rFonts w:ascii="Times New Roman" w:hAnsi="Times New Roman" w:eastAsia="仿宋_GB2312" w:cs="Times New Roman"/>
          <w:b w:val="0"/>
          <w:bCs w:val="0"/>
          <w:color w:val="333333"/>
          <w:sz w:val="32"/>
          <w:szCs w:val="32"/>
          <w:shd w:val="clear" w:color="auto" w:fill="FFFFFF"/>
          <w:lang w:bidi="ar"/>
        </w:rPr>
        <w:t>（</w:t>
      </w:r>
      <w:r>
        <w:rPr>
          <w:rFonts w:hint="eastAsia" w:ascii="Times New Roman" w:hAnsi="Times New Roman" w:eastAsia="仿宋_GB2312" w:cs="Times New Roman"/>
          <w:b w:val="0"/>
          <w:bCs w:val="0"/>
          <w:color w:val="333333"/>
          <w:sz w:val="32"/>
          <w:szCs w:val="32"/>
          <w:shd w:val="clear" w:color="auto" w:fill="FFFFFF"/>
          <w:lang w:bidi="ar"/>
        </w:rPr>
        <w:t>二</w:t>
      </w:r>
      <w:r>
        <w:rPr>
          <w:rFonts w:ascii="Times New Roman" w:hAnsi="Times New Roman" w:eastAsia="仿宋_GB2312" w:cs="Times New Roman"/>
          <w:b w:val="0"/>
          <w:bCs w:val="0"/>
          <w:color w:val="333333"/>
          <w:sz w:val="32"/>
          <w:szCs w:val="32"/>
          <w:shd w:val="clear" w:color="auto" w:fill="FFFFFF"/>
          <w:lang w:bidi="ar"/>
        </w:rPr>
        <w:t>）选拔方式</w:t>
      </w:r>
    </w:p>
    <w:p w14:paraId="2612F710">
      <w:pPr>
        <w:pStyle w:val="18"/>
        <w:spacing w:line="560" w:lineRule="exact"/>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智慧建造学院组织建筑加固与修复技术专业</w:t>
      </w:r>
      <w:r>
        <w:rPr>
          <w:rFonts w:hint="eastAsia" w:ascii="仿宋_GB2312" w:hAnsi="仿宋_GB2312" w:eastAsia="仿宋_GB2312" w:cs="仿宋_GB2312"/>
          <w:color w:val="333333"/>
          <w:sz w:val="32"/>
          <w:szCs w:val="32"/>
          <w:shd w:val="clear" w:color="auto" w:fill="FFFFFF"/>
          <w:lang w:val="en-US" w:eastAsia="zh-CN"/>
        </w:rPr>
        <w:t>负责人及</w:t>
      </w:r>
      <w:r>
        <w:rPr>
          <w:rFonts w:hint="eastAsia" w:ascii="仿宋_GB2312" w:hAnsi="仿宋_GB2312" w:eastAsia="仿宋_GB2312" w:cs="仿宋_GB2312"/>
          <w:color w:val="333333"/>
          <w:sz w:val="32"/>
          <w:szCs w:val="32"/>
          <w:shd w:val="clear" w:color="auto" w:fill="FFFFFF"/>
        </w:rPr>
        <w:t>骨干教师组成评审组，根据学生报名材料、主修专业学业情况等进行综合审核选拔，确定录取名单。</w:t>
      </w:r>
    </w:p>
    <w:p w14:paraId="2FBE9028">
      <w:pPr>
        <w:pStyle w:val="18"/>
        <w:spacing w:before="0" w:after="0" w:line="560" w:lineRule="exact"/>
        <w:ind w:firstLine="640" w:firstLineChars="200"/>
        <w:rPr>
          <w:rFonts w:ascii="Times New Roman" w:hAnsi="Times New Roman" w:eastAsia="仿宋_GB2312" w:cs="Times New Roman"/>
          <w:color w:val="333333"/>
          <w:sz w:val="32"/>
          <w:szCs w:val="32"/>
          <w:shd w:val="clear" w:color="auto" w:fill="FFFFFF"/>
          <w:lang w:bidi="ar"/>
        </w:rPr>
      </w:pPr>
      <w:r>
        <w:rPr>
          <w:rFonts w:hint="eastAsia" w:ascii="仿宋_GB2312" w:hAnsi="仿宋_GB2312" w:eastAsia="仿宋_GB2312" w:cs="仿宋_GB2312"/>
          <w:color w:val="333333"/>
          <w:sz w:val="32"/>
          <w:szCs w:val="32"/>
          <w:shd w:val="clear" w:color="auto" w:fill="FFFFFF"/>
        </w:rPr>
        <w:t>录取名单将于2026年</w:t>
      </w:r>
      <w:r>
        <w:rPr>
          <w:rFonts w:hint="eastAsia" w:ascii="仿宋_GB2312" w:hAnsi="仿宋_GB2312" w:eastAsia="仿宋_GB2312" w:cs="仿宋_GB2312"/>
          <w:color w:val="333333"/>
          <w:sz w:val="32"/>
          <w:szCs w:val="32"/>
          <w:shd w:val="clear" w:color="auto" w:fill="FFFFFF"/>
          <w:lang w:val="en-US" w:eastAsia="zh-CN"/>
        </w:rPr>
        <w:t>5</w:t>
      </w:r>
      <w:r>
        <w:rPr>
          <w:rFonts w:hint="eastAsia" w:ascii="仿宋_GB2312" w:hAnsi="仿宋_GB2312" w:eastAsia="仿宋_GB2312" w:cs="仿宋_GB2312"/>
          <w:color w:val="333333"/>
          <w:sz w:val="32"/>
          <w:szCs w:val="32"/>
          <w:shd w:val="clear" w:color="auto" w:fill="FFFFFF"/>
        </w:rPr>
        <w:t>月</w:t>
      </w:r>
      <w:r>
        <w:rPr>
          <w:rFonts w:hint="eastAsia" w:ascii="仿宋_GB2312" w:hAnsi="仿宋_GB2312" w:eastAsia="仿宋_GB2312" w:cs="仿宋_GB2312"/>
          <w:color w:val="333333"/>
          <w:sz w:val="32"/>
          <w:szCs w:val="32"/>
          <w:shd w:val="clear" w:color="auto" w:fill="FFFFFF"/>
          <w:lang w:val="en-US" w:eastAsia="zh-CN"/>
        </w:rPr>
        <w:t>25</w:t>
      </w:r>
      <w:r>
        <w:rPr>
          <w:rFonts w:hint="eastAsia" w:ascii="仿宋_GB2312" w:hAnsi="仿宋_GB2312" w:eastAsia="仿宋_GB2312" w:cs="仿宋_GB2312"/>
          <w:color w:val="333333"/>
          <w:sz w:val="32"/>
          <w:szCs w:val="32"/>
          <w:shd w:val="clear" w:color="auto" w:fill="FFFFFF"/>
        </w:rPr>
        <w:t>日—</w:t>
      </w:r>
      <w:r>
        <w:rPr>
          <w:rFonts w:hint="eastAsia" w:ascii="仿宋_GB2312" w:hAnsi="仿宋_GB2312" w:eastAsia="仿宋_GB2312" w:cs="仿宋_GB2312"/>
          <w:color w:val="333333"/>
          <w:sz w:val="32"/>
          <w:szCs w:val="32"/>
          <w:shd w:val="clear" w:color="auto" w:fill="FFFFFF"/>
          <w:lang w:val="en-US" w:eastAsia="zh-CN"/>
        </w:rPr>
        <w:t>5</w:t>
      </w:r>
      <w:r>
        <w:rPr>
          <w:rFonts w:hint="eastAsia" w:ascii="仿宋_GB2312" w:hAnsi="仿宋_GB2312" w:eastAsia="仿宋_GB2312" w:cs="仿宋_GB2312"/>
          <w:color w:val="333333"/>
          <w:sz w:val="32"/>
          <w:szCs w:val="32"/>
          <w:shd w:val="clear" w:color="auto" w:fill="FFFFFF"/>
        </w:rPr>
        <w:t>月</w:t>
      </w:r>
      <w:r>
        <w:rPr>
          <w:rFonts w:hint="eastAsia" w:ascii="仿宋_GB2312" w:hAnsi="仿宋_GB2312" w:eastAsia="仿宋_GB2312" w:cs="仿宋_GB2312"/>
          <w:color w:val="333333"/>
          <w:sz w:val="32"/>
          <w:szCs w:val="32"/>
          <w:shd w:val="clear" w:color="auto" w:fill="FFFFFF"/>
          <w:lang w:val="en-US" w:eastAsia="zh-CN"/>
        </w:rPr>
        <w:t>27</w:t>
      </w:r>
      <w:r>
        <w:rPr>
          <w:rFonts w:hint="eastAsia" w:ascii="仿宋_GB2312" w:hAnsi="仿宋_GB2312" w:eastAsia="仿宋_GB2312" w:cs="仿宋_GB2312"/>
          <w:color w:val="333333"/>
          <w:sz w:val="32"/>
          <w:szCs w:val="32"/>
          <w:shd w:val="clear" w:color="auto" w:fill="FFFFFF"/>
        </w:rPr>
        <w:t>日在学校教务处官网进行公示，公示无异议后正式入学</w:t>
      </w:r>
      <w:bookmarkStart w:id="0" w:name="_GoBack"/>
      <w:bookmarkEnd w:id="0"/>
      <w:r>
        <w:rPr>
          <w:rFonts w:hint="eastAsia" w:ascii="仿宋_GB2312" w:hAnsi="仿宋_GB2312" w:eastAsia="仿宋_GB2312" w:cs="仿宋_GB2312"/>
          <w:color w:val="333333"/>
          <w:sz w:val="32"/>
          <w:szCs w:val="32"/>
          <w:shd w:val="clear" w:color="auto" w:fill="FFFFFF"/>
        </w:rPr>
        <w:t>。</w:t>
      </w:r>
    </w:p>
    <w:p w14:paraId="3F497198">
      <w:pPr>
        <w:pStyle w:val="5"/>
        <w:spacing w:before="0" w:after="0" w:line="560" w:lineRule="exact"/>
        <w:ind w:firstLine="640" w:firstLineChars="200"/>
        <w:rPr>
          <w:rFonts w:ascii="Times New Roman" w:hAnsi="Times New Roman" w:eastAsia="仿宋_GB2312" w:cs="Times New Roman"/>
          <w:b w:val="0"/>
          <w:bCs w:val="0"/>
          <w:color w:val="333333"/>
          <w:sz w:val="32"/>
          <w:szCs w:val="32"/>
          <w:shd w:val="clear" w:color="auto" w:fill="FFFFFF"/>
          <w:lang w:bidi="ar"/>
        </w:rPr>
      </w:pPr>
      <w:r>
        <w:rPr>
          <w:rFonts w:ascii="Times New Roman" w:hAnsi="Times New Roman" w:eastAsia="仿宋_GB2312" w:cs="Times New Roman"/>
          <w:b w:val="0"/>
          <w:bCs w:val="0"/>
          <w:color w:val="333333"/>
          <w:sz w:val="32"/>
          <w:szCs w:val="32"/>
          <w:shd w:val="clear" w:color="auto" w:fill="FFFFFF"/>
          <w:lang w:bidi="ar"/>
        </w:rPr>
        <w:t>（</w:t>
      </w:r>
      <w:r>
        <w:rPr>
          <w:rFonts w:hint="eastAsia" w:ascii="Times New Roman" w:hAnsi="Times New Roman" w:eastAsia="仿宋_GB2312" w:cs="Times New Roman"/>
          <w:b w:val="0"/>
          <w:bCs w:val="0"/>
          <w:color w:val="333333"/>
          <w:sz w:val="32"/>
          <w:szCs w:val="32"/>
          <w:shd w:val="clear" w:color="auto" w:fill="FFFFFF"/>
          <w:lang w:bidi="ar"/>
        </w:rPr>
        <w:t>三</w:t>
      </w:r>
      <w:r>
        <w:rPr>
          <w:rFonts w:ascii="Times New Roman" w:hAnsi="Times New Roman" w:eastAsia="仿宋_GB2312" w:cs="Times New Roman"/>
          <w:b w:val="0"/>
          <w:bCs w:val="0"/>
          <w:color w:val="333333"/>
          <w:sz w:val="32"/>
          <w:szCs w:val="32"/>
          <w:shd w:val="clear" w:color="auto" w:fill="FFFFFF"/>
          <w:lang w:bidi="ar"/>
        </w:rPr>
        <w:t>）咨询联系</w:t>
      </w:r>
    </w:p>
    <w:p w14:paraId="227B1537">
      <w:pPr>
        <w:pStyle w:val="18"/>
        <w:spacing w:before="0" w:after="0" w:line="560" w:lineRule="exact"/>
        <w:ind w:firstLine="640" w:firstLineChars="200"/>
        <w:rPr>
          <w:rFonts w:ascii="Times New Roman" w:hAnsi="Times New Roman" w:eastAsia="仿宋_GB2312" w:cs="Times New Roman"/>
          <w:color w:val="333333"/>
          <w:sz w:val="32"/>
          <w:szCs w:val="32"/>
          <w:shd w:val="clear" w:color="auto" w:fill="FFFFFF"/>
          <w:lang w:bidi="ar"/>
        </w:rPr>
      </w:pPr>
      <w:r>
        <w:rPr>
          <w:rFonts w:hint="eastAsia" w:ascii="Times New Roman" w:hAnsi="Times New Roman" w:eastAsia="仿宋_GB2312" w:cs="Times New Roman"/>
          <w:color w:val="333333"/>
          <w:sz w:val="32"/>
          <w:szCs w:val="32"/>
          <w:shd w:val="clear" w:color="auto" w:fill="FFFFFF"/>
          <w:lang w:bidi="ar"/>
        </w:rPr>
        <w:t>高</w:t>
      </w:r>
      <w:r>
        <w:rPr>
          <w:rFonts w:ascii="Times New Roman" w:hAnsi="Times New Roman" w:eastAsia="仿宋_GB2312" w:cs="Times New Roman"/>
          <w:color w:val="333333"/>
          <w:sz w:val="32"/>
          <w:szCs w:val="32"/>
          <w:shd w:val="clear" w:color="auto" w:fill="FFFFFF"/>
          <w:lang w:bidi="ar"/>
        </w:rPr>
        <w:t>老师：15922092239；</w:t>
      </w:r>
      <w:r>
        <w:rPr>
          <w:rFonts w:hint="eastAsia" w:ascii="Times New Roman" w:hAnsi="Times New Roman" w:eastAsia="仿宋_GB2312" w:cs="Times New Roman"/>
          <w:color w:val="333333"/>
          <w:sz w:val="32"/>
          <w:szCs w:val="32"/>
          <w:shd w:val="clear" w:color="auto" w:fill="FFFFFF"/>
          <w:lang w:bidi="ar"/>
        </w:rPr>
        <w:t>肖</w:t>
      </w:r>
      <w:r>
        <w:rPr>
          <w:rFonts w:ascii="Times New Roman" w:hAnsi="Times New Roman" w:eastAsia="仿宋_GB2312" w:cs="Times New Roman"/>
          <w:color w:val="333333"/>
          <w:sz w:val="32"/>
          <w:szCs w:val="32"/>
          <w:shd w:val="clear" w:color="auto" w:fill="FFFFFF"/>
          <w:lang w:bidi="ar"/>
        </w:rPr>
        <w:t>老师：13902073600</w:t>
      </w:r>
      <w:r>
        <w:rPr>
          <w:rFonts w:hint="eastAsia" w:ascii="Times New Roman" w:hAnsi="Times New Roman" w:eastAsia="仿宋_GB2312" w:cs="Times New Roman"/>
          <w:color w:val="333333"/>
          <w:sz w:val="32"/>
          <w:szCs w:val="32"/>
          <w:shd w:val="clear" w:color="auto" w:fill="FFFFFF"/>
          <w:lang w:bidi="ar"/>
        </w:rPr>
        <w:t>；</w:t>
      </w:r>
    </w:p>
    <w:p w14:paraId="3EEB08CC">
      <w:pPr>
        <w:pStyle w:val="18"/>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ascii="Times New Roman" w:hAnsi="Times New Roman" w:eastAsia="仿宋_GB2312" w:cs="Times New Roman"/>
          <w:color w:val="333333"/>
          <w:sz w:val="32"/>
          <w:szCs w:val="32"/>
          <w:shd w:val="clear" w:color="auto" w:fill="FFFFFF"/>
          <w:lang w:bidi="ar"/>
        </w:rPr>
      </w:pPr>
      <w:r>
        <w:rPr>
          <w:rFonts w:hint="eastAsia" w:ascii="Times New Roman" w:hAnsi="Times New Roman" w:eastAsia="仿宋_GB2312" w:cs="Times New Roman"/>
          <w:color w:val="333333"/>
          <w:sz w:val="32"/>
          <w:szCs w:val="32"/>
          <w:shd w:val="clear" w:color="auto" w:fill="FFFFFF"/>
          <w:lang w:bidi="ar"/>
        </w:rPr>
        <w:t>朱老师：1</w:t>
      </w:r>
      <w:r>
        <w:rPr>
          <w:rFonts w:ascii="Times New Roman" w:hAnsi="Times New Roman" w:eastAsia="仿宋_GB2312" w:cs="Times New Roman"/>
          <w:color w:val="333333"/>
          <w:sz w:val="32"/>
          <w:szCs w:val="32"/>
          <w:shd w:val="clear" w:color="auto" w:fill="FFFFFF"/>
          <w:lang w:bidi="ar"/>
        </w:rPr>
        <w:t>5822136103</w:t>
      </w:r>
      <w:r>
        <w:rPr>
          <w:rFonts w:hint="eastAsia" w:ascii="Times New Roman" w:hAnsi="Times New Roman" w:eastAsia="仿宋_GB2312" w:cs="Times New Roman"/>
          <w:color w:val="333333"/>
          <w:sz w:val="32"/>
          <w:szCs w:val="32"/>
          <w:shd w:val="clear" w:color="auto" w:fill="FFFFFF"/>
          <w:lang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（办公时间：周一至周五 8:30-16:30）</w:t>
      </w:r>
    </w:p>
    <w:p w14:paraId="4F4E2F64">
      <w:pPr>
        <w:pStyle w:val="9"/>
        <w:widowControl/>
        <w:shd w:val="clear" w:color="auto" w:fill="FFFFFF"/>
        <w:spacing w:beforeAutospacing="0" w:afterAutospacing="0" w:line="560" w:lineRule="exact"/>
        <w:ind w:firstLine="643" w:firstLineChars="200"/>
        <w:jc w:val="both"/>
        <w:rPr>
          <w:rStyle w:val="13"/>
          <w:rFonts w:ascii="Times New Roman" w:hAnsi="Times New Roman" w:eastAsia="黑体"/>
          <w:bCs/>
          <w:color w:val="333333"/>
          <w:sz w:val="32"/>
          <w:szCs w:val="32"/>
          <w:shd w:val="clear" w:color="auto" w:fill="FFFFFF"/>
        </w:rPr>
      </w:pPr>
      <w:r>
        <w:rPr>
          <w:rStyle w:val="13"/>
          <w:rFonts w:hint="eastAsia" w:ascii="Times New Roman" w:hAnsi="Times New Roman" w:eastAsia="黑体"/>
          <w:bCs/>
          <w:color w:val="333333"/>
          <w:sz w:val="32"/>
          <w:szCs w:val="32"/>
          <w:shd w:val="clear" w:color="auto" w:fill="FFFFFF"/>
        </w:rPr>
        <w:t>五</w:t>
      </w:r>
      <w:r>
        <w:rPr>
          <w:rStyle w:val="13"/>
          <w:rFonts w:ascii="Times New Roman" w:hAnsi="Times New Roman" w:eastAsia="黑体"/>
          <w:bCs/>
          <w:color w:val="333333"/>
          <w:sz w:val="32"/>
          <w:szCs w:val="32"/>
          <w:shd w:val="clear" w:color="auto" w:fill="FFFFFF"/>
        </w:rPr>
        <w:t>、报名注意事项</w:t>
      </w:r>
    </w:p>
    <w:p w14:paraId="16E5C1E0">
      <w:pPr>
        <w:pStyle w:val="9"/>
        <w:widowControl/>
        <w:spacing w:beforeAutospacing="0" w:afterAutospacing="0" w:line="560" w:lineRule="exact"/>
        <w:ind w:firstLine="640" w:firstLineChars="200"/>
        <w:rPr>
          <w:rFonts w:ascii="仿宋_GB2312" w:hAnsi="仿宋_GB2312" w:eastAsia="仿宋_GB2312" w:cs="仿宋_GB2312"/>
          <w:color w:val="333333"/>
          <w:sz w:val="32"/>
          <w:szCs w:val="32"/>
          <w:shd w:val="clear" w:color="auto" w:fill="FFFFFF"/>
        </w:rPr>
      </w:pPr>
      <w:r>
        <w:rPr>
          <w:rFonts w:ascii="仿宋_GB2312" w:hAnsi="仿宋_GB2312" w:eastAsia="仿宋_GB2312" w:cs="仿宋_GB2312"/>
          <w:color w:val="333333"/>
          <w:sz w:val="32"/>
          <w:szCs w:val="32"/>
          <w:shd w:val="clear" w:color="auto" w:fill="FFFFFF"/>
        </w:rPr>
        <w:t>1.学生应综合考虑自身情况，在学有余力、不影响主修专业的基础上进行选修。</w:t>
      </w:r>
    </w:p>
    <w:p w14:paraId="620B4BF9">
      <w:pPr>
        <w:pStyle w:val="9"/>
        <w:widowControl/>
        <w:spacing w:beforeAutospacing="0" w:afterAutospacing="0" w:line="560" w:lineRule="exact"/>
        <w:ind w:firstLine="640" w:firstLineChars="200"/>
        <w:rPr>
          <w:rFonts w:ascii="仿宋_GB2312" w:hAnsi="仿宋_GB2312" w:eastAsia="仿宋_GB2312" w:cs="仿宋_GB2312"/>
          <w:color w:val="333333"/>
          <w:sz w:val="32"/>
          <w:szCs w:val="32"/>
          <w:shd w:val="clear" w:color="auto" w:fill="FFFFFF"/>
        </w:rPr>
      </w:pPr>
      <w:r>
        <w:rPr>
          <w:rFonts w:ascii="仿宋_GB2312" w:hAnsi="仿宋_GB2312" w:eastAsia="仿宋_GB2312" w:cs="仿宋_GB2312"/>
          <w:color w:val="333333"/>
          <w:sz w:val="32"/>
          <w:szCs w:val="32"/>
          <w:shd w:val="clear" w:color="auto" w:fill="FFFFFF"/>
        </w:rPr>
        <w:t>2.修读微专业的学生须参加该专业所有课程的学习和考核，微专业课程不允许免修或免听，成绩不合格的可参照课程考核管理办法进行补考或重修。微专业的课程考核结果不影响主修专业。</w:t>
      </w:r>
    </w:p>
    <w:p w14:paraId="440E8ECA">
      <w:pPr>
        <w:pStyle w:val="9"/>
        <w:widowControl/>
        <w:spacing w:beforeAutospacing="0" w:afterAutospacing="0" w:line="560" w:lineRule="exact"/>
        <w:ind w:firstLine="640" w:firstLineChars="200"/>
        <w:rPr>
          <w:rFonts w:ascii="仿宋_GB2312" w:hAnsi="仿宋_GB2312" w:eastAsia="仿宋_GB2312" w:cs="仿宋_GB2312"/>
          <w:color w:val="333333"/>
          <w:sz w:val="32"/>
          <w:szCs w:val="32"/>
          <w:shd w:val="clear" w:color="auto" w:fill="FFFFFF"/>
        </w:rPr>
      </w:pPr>
      <w:r>
        <w:rPr>
          <w:rFonts w:ascii="仿宋_GB2312" w:hAnsi="仿宋_GB2312" w:eastAsia="仿宋_GB2312" w:cs="仿宋_GB2312"/>
          <w:color w:val="333333"/>
          <w:sz w:val="32"/>
          <w:szCs w:val="32"/>
          <w:shd w:val="clear" w:color="auto" w:fill="FFFFFF"/>
        </w:rPr>
        <w:t>3.微专业学习期间</w:t>
      </w:r>
      <w:r>
        <w:rPr>
          <w:rFonts w:hint="eastAsia" w:ascii="仿宋_GB2312" w:hAnsi="仿宋_GB2312" w:eastAsia="仿宋_GB2312" w:cs="仿宋_GB2312"/>
          <w:color w:val="333333"/>
          <w:sz w:val="32"/>
          <w:szCs w:val="32"/>
          <w:shd w:val="clear" w:color="auto" w:fill="FFFFFF"/>
        </w:rPr>
        <w:t>，</w:t>
      </w:r>
      <w:r>
        <w:rPr>
          <w:rFonts w:ascii="仿宋_GB2312" w:hAnsi="仿宋_GB2312" w:eastAsia="仿宋_GB2312" w:cs="仿宋_GB2312"/>
          <w:color w:val="333333"/>
          <w:sz w:val="32"/>
          <w:szCs w:val="32"/>
          <w:shd w:val="clear" w:color="auto" w:fill="FFFFFF"/>
        </w:rPr>
        <w:t>学生因本人原因终止微专业学习，并超出弹性修业年限，已修读且成绩合格的微专业课程学分作废。</w:t>
      </w:r>
    </w:p>
    <w:p w14:paraId="562FDAAD">
      <w:pPr>
        <w:pStyle w:val="4"/>
        <w:widowControl/>
        <w:spacing w:before="0" w:after="0" w:line="560" w:lineRule="exact"/>
        <w:ind w:firstLine="640" w:firstLineChars="200"/>
        <w:rPr>
          <w:rFonts w:ascii="黑体" w:hAnsi="黑体" w:eastAsia="黑体" w:cs="黑体"/>
          <w:b w:val="0"/>
          <w:bCs w:val="0"/>
          <w:color w:val="000000"/>
          <w:lang w:bidi="ar"/>
        </w:rPr>
      </w:pPr>
      <w:r>
        <w:rPr>
          <w:rFonts w:hint="eastAsia" w:ascii="黑体" w:hAnsi="黑体" w:eastAsia="黑体" w:cs="黑体"/>
          <w:b w:val="0"/>
          <w:bCs w:val="0"/>
          <w:color w:val="000000"/>
          <w:lang w:bidi="ar"/>
        </w:rPr>
        <w:t>六、课程简介</w:t>
      </w:r>
    </w:p>
    <w:p w14:paraId="50F6D313">
      <w:pPr>
        <w:pStyle w:val="18"/>
        <w:spacing w:before="0" w:after="0" w:line="560" w:lineRule="exact"/>
        <w:ind w:firstLine="640" w:firstLineChars="200"/>
        <w:rPr>
          <w:rFonts w:ascii="仿宋_GB2312" w:hAnsi="宋体" w:eastAsia="仿宋_GB2312" w:cs="仿宋_GB2312"/>
          <w:color w:val="000000"/>
          <w:sz w:val="32"/>
          <w:szCs w:val="32"/>
          <w:lang w:bidi="ar"/>
        </w:rPr>
      </w:pPr>
      <w:r>
        <w:rPr>
          <w:rFonts w:hint="eastAsia" w:ascii="仿宋_GB2312" w:hAnsi="宋体" w:eastAsia="仿宋_GB2312" w:cs="仿宋_GB2312"/>
          <w:color w:val="000000"/>
          <w:sz w:val="32"/>
          <w:szCs w:val="32"/>
          <w:lang w:bidi="ar"/>
        </w:rPr>
        <w:t>1.《建筑智能检测技术》：本课程是建筑加固与修复技术的基础核心课，紧扣行业标准（GB/T 50344等），融合理论与实操。通过课堂讲授掌握建筑结构检测的基本原理、质量评定标准，依托校内实训基地实操回弹仪、裂缝测宽仪、钢筋扫描仪等智能检测设备，重点培养混凝土结构、钢结构、砌体结构的现场检测能力，以及检测数据的整理、分析和检测报告的规范编制能力，为后续结构监测与加固修复工作提供数据支撑。</w:t>
      </w:r>
    </w:p>
    <w:p w14:paraId="5721AE73">
      <w:pPr>
        <w:pStyle w:val="18"/>
        <w:spacing w:before="0" w:after="0" w:line="560" w:lineRule="exact"/>
        <w:ind w:firstLine="640" w:firstLineChars="200"/>
        <w:rPr>
          <w:rFonts w:ascii="仿宋_GB2312" w:hAnsi="宋体" w:eastAsia="仿宋_GB2312" w:cs="仿宋_GB2312"/>
          <w:color w:val="000000"/>
          <w:sz w:val="32"/>
          <w:szCs w:val="32"/>
          <w:lang w:bidi="ar"/>
        </w:rPr>
      </w:pPr>
      <w:r>
        <w:rPr>
          <w:rFonts w:hint="eastAsia" w:ascii="仿宋_GB2312" w:hAnsi="宋体" w:eastAsia="仿宋_GB2312" w:cs="仿宋_GB2312"/>
          <w:color w:val="000000"/>
          <w:sz w:val="32"/>
          <w:szCs w:val="32"/>
          <w:lang w:bidi="ar"/>
        </w:rPr>
        <w:t>2.《建筑智能监测技术》：本课程聚焦建筑工程现场智能监测核心技能，结合建筑基坑、主体结构、隧道等实际工程场景，讲解GNSS、倾角仪、应变计等监测设备的工作原理与布设方法，以及智能监测系统的搭建与操作。通过仿真模拟和现场实训，让学生掌握沉降、位移、应力等监测数据的实时采集、分析与异常判断方法，能制定专项监测方案，完成监测数据分析报告并进行施工风险预警，培养工程监测的实操能力和风险预判思维。</w:t>
      </w:r>
    </w:p>
    <w:p w14:paraId="57B02E5C">
      <w:pPr>
        <w:pStyle w:val="18"/>
        <w:spacing w:before="0" w:after="0" w:line="560" w:lineRule="exact"/>
        <w:ind w:firstLine="640" w:firstLineChars="200"/>
        <w:rPr>
          <w:rFonts w:ascii="仿宋_GB2312" w:hAnsi="宋体" w:eastAsia="仿宋_GB2312" w:cs="仿宋_GB2312"/>
          <w:color w:val="000000"/>
          <w:sz w:val="32"/>
          <w:szCs w:val="32"/>
          <w:lang w:bidi="ar"/>
        </w:rPr>
      </w:pPr>
      <w:r>
        <w:rPr>
          <w:rFonts w:hint="eastAsia" w:ascii="仿宋_GB2312" w:hAnsi="宋体" w:eastAsia="仿宋_GB2312" w:cs="仿宋_GB2312"/>
          <w:color w:val="000000"/>
          <w:sz w:val="32"/>
          <w:szCs w:val="32"/>
          <w:lang w:bidi="ar"/>
        </w:rPr>
        <w:t>3.《建筑加固与修复技术》：核心专业技能课程，是微专业的核心实操课，围绕建筑行业老旧建筑改造、结构病害修复的实际需求，讲解混凝土结构、砌体结构、建筑基础等不同结构的常见病害类型及成因。通过理论授课掌握碳纤维加固、钢板加固、注浆加固等主流加固技术的设计规范和施工工艺，结合实训开展加固方案设计、加固材料操作、施工工艺模拟等实操训练，让学生能结合工程实际独立制定建筑加固修复方案，并完成方案答辩与现场实操实施，具备加固修复施工技术与现场管理的基础能力。</w:t>
      </w:r>
    </w:p>
    <w:p w14:paraId="388C78B3">
      <w:pPr>
        <w:pStyle w:val="18"/>
        <w:spacing w:before="0" w:after="0" w:line="560" w:lineRule="exact"/>
        <w:ind w:firstLine="640" w:firstLineChars="200"/>
        <w:rPr>
          <w:rFonts w:ascii="仿宋_GB2312" w:hAnsi="宋体" w:eastAsia="仿宋_GB2312" w:cs="仿宋_GB2312"/>
          <w:color w:val="000000"/>
          <w:sz w:val="32"/>
          <w:szCs w:val="32"/>
          <w:lang w:bidi="ar"/>
        </w:rPr>
      </w:pPr>
      <w:r>
        <w:rPr>
          <w:rFonts w:hint="eastAsia" w:ascii="仿宋_GB2312" w:hAnsi="宋体" w:eastAsia="仿宋_GB2312" w:cs="仿宋_GB2312"/>
          <w:color w:val="000000"/>
          <w:sz w:val="32"/>
          <w:szCs w:val="32"/>
          <w:lang w:bidi="ar"/>
        </w:rPr>
        <w:t>4.《建筑抗震》：本课程是建筑加固与修复技术专业拓展课，紧扣现行建筑抗震设计及鉴定加固规范，融合理论与工程应用。通过课堂讲授掌握建筑抗震基本原理、抗震设防要求及既有建筑抗震鉴定方法，结合典型震害案例学习结构抗震加固措施与构造做法，重点培养建筑抗震性能评估、抗震加固方案设计与现场施工指导能力，为结构加固与修复工程提供安全技术保障。</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401"/>
    <w:rsid w:val="002C44AE"/>
    <w:rsid w:val="00720D6A"/>
    <w:rsid w:val="00743401"/>
    <w:rsid w:val="009B1BA1"/>
    <w:rsid w:val="00B33BB4"/>
    <w:rsid w:val="00F56E1C"/>
    <w:rsid w:val="02860755"/>
    <w:rsid w:val="15691319"/>
    <w:rsid w:val="21F90FA0"/>
    <w:rsid w:val="23370D91"/>
    <w:rsid w:val="43DB4222"/>
    <w:rsid w:val="47F22878"/>
    <w:rsid w:val="496D01F2"/>
    <w:rsid w:val="4FCB5B23"/>
    <w:rsid w:val="5B31788C"/>
    <w:rsid w:val="5DA10E1B"/>
    <w:rsid w:val="705438F1"/>
    <w:rsid w:val="74443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3">
    <w:name w:val="heading 1"/>
    <w:next w:val="1"/>
    <w:qFormat/>
    <w:uiPriority w:val="0"/>
    <w:pPr>
      <w:spacing w:before="380" w:after="140" w:line="288" w:lineRule="auto"/>
      <w:outlineLvl w:val="0"/>
    </w:pPr>
    <w:rPr>
      <w:rFonts w:ascii="Arial" w:hAnsi="Arial" w:eastAsia="等线" w:cs="Arial"/>
      <w:b/>
      <w:bCs/>
      <w:sz w:val="36"/>
      <w:szCs w:val="36"/>
      <w:lang w:val="en-US" w:eastAsia="zh-CN" w:bidi="ar-SA"/>
    </w:rPr>
  </w:style>
  <w:style w:type="paragraph" w:styleId="4">
    <w:name w:val="heading 2"/>
    <w:basedOn w:val="1"/>
    <w:next w:val="1"/>
    <w:qFormat/>
    <w:uiPriority w:val="0"/>
    <w:pPr>
      <w:spacing w:before="320" w:after="120" w:line="288" w:lineRule="auto"/>
      <w:jc w:val="left"/>
      <w:outlineLvl w:val="1"/>
    </w:pPr>
    <w:rPr>
      <w:rFonts w:ascii="Arial" w:hAnsi="Arial" w:eastAsia="等线" w:cs="Arial"/>
      <w:b/>
      <w:bCs/>
      <w:sz w:val="32"/>
      <w:szCs w:val="32"/>
    </w:rPr>
  </w:style>
  <w:style w:type="paragraph" w:styleId="5">
    <w:name w:val="heading 3"/>
    <w:next w:val="1"/>
    <w:qFormat/>
    <w:uiPriority w:val="0"/>
    <w:pPr>
      <w:spacing w:before="300" w:after="120" w:line="288" w:lineRule="auto"/>
      <w:outlineLvl w:val="2"/>
    </w:pPr>
    <w:rPr>
      <w:rFonts w:ascii="Arial" w:hAnsi="Arial" w:eastAsia="等线" w:cs="Arial"/>
      <w:b/>
      <w:bCs/>
      <w:sz w:val="30"/>
      <w:szCs w:val="30"/>
      <w:lang w:val="en-US" w:eastAsia="zh-CN" w:bidi="ar-SA"/>
    </w:rPr>
  </w:style>
  <w:style w:type="paragraph" w:styleId="6">
    <w:name w:val="heading 4"/>
    <w:next w:val="1"/>
    <w:qFormat/>
    <w:uiPriority w:val="0"/>
    <w:pPr>
      <w:spacing w:before="260" w:after="120" w:line="288" w:lineRule="auto"/>
      <w:outlineLvl w:val="3"/>
    </w:pPr>
    <w:rPr>
      <w:rFonts w:ascii="Arial" w:hAnsi="Arial" w:eastAsia="等线" w:cs="Arial"/>
      <w:b/>
      <w:bCs/>
      <w:sz w:val="28"/>
      <w:szCs w:val="28"/>
      <w:lang w:val="en-US" w:eastAsia="zh-CN" w:bidi="ar-SA"/>
    </w:rPr>
  </w:style>
  <w:style w:type="paragraph" w:styleId="2">
    <w:name w:val="heading 5"/>
    <w:basedOn w:val="1"/>
    <w:next w:val="1"/>
    <w:qFormat/>
    <w:uiPriority w:val="0"/>
    <w:pPr>
      <w:spacing w:before="240" w:after="120" w:line="288" w:lineRule="auto"/>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outlineLvl w:val="5"/>
    </w:pPr>
    <w:rPr>
      <w:rFonts w:ascii="Arial" w:hAnsi="Arial" w:eastAsia="等线" w:cs="Arial"/>
      <w:b/>
      <w:bCs/>
      <w:sz w:val="24"/>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8">
    <w:name w:val="footnote text"/>
    <w:link w:val="17"/>
    <w:semiHidden/>
    <w:unhideWhenUsed/>
    <w:qFormat/>
    <w:uiPriority w:val="99"/>
    <w:rPr>
      <w:rFonts w:asciiTheme="minorHAnsi" w:hAnsiTheme="minorHAnsi" w:eastAsiaTheme="minorEastAsia" w:cstheme="minorBidi"/>
      <w:lang w:val="en-US" w:eastAsia="zh-CN" w:bidi="ar-SA"/>
    </w:rPr>
  </w:style>
  <w:style w:type="paragraph" w:styleId="9">
    <w:name w:val="Normal (Web)"/>
    <w:basedOn w:val="1"/>
    <w:qFormat/>
    <w:uiPriority w:val="0"/>
    <w:pPr>
      <w:spacing w:beforeAutospacing="1" w:afterAutospacing="1"/>
      <w:jc w:val="left"/>
    </w:pPr>
    <w:rPr>
      <w:rFonts w:cs="Times New Roman"/>
      <w:sz w:val="24"/>
    </w:rPr>
  </w:style>
  <w:style w:type="paragraph" w:styleId="10">
    <w:name w:val="Title"/>
    <w:qFormat/>
    <w:uiPriority w:val="0"/>
    <w:pPr>
      <w:spacing w:before="480" w:after="480" w:line="288" w:lineRule="auto"/>
    </w:pPr>
    <w:rPr>
      <w:rFonts w:ascii="Arial" w:hAnsi="Arial" w:eastAsia="等线" w:cs="Arial"/>
      <w:b/>
      <w:bCs/>
      <w:sz w:val="52"/>
      <w:szCs w:val="52"/>
      <w:lang w:val="en-US" w:eastAsia="zh-CN" w:bidi="ar-SA"/>
    </w:rPr>
  </w:style>
  <w:style w:type="character" w:styleId="13">
    <w:name w:val="Strong"/>
    <w:basedOn w:val="12"/>
    <w:qFormat/>
    <w:uiPriority w:val="0"/>
    <w:rPr>
      <w:b/>
    </w:rPr>
  </w:style>
  <w:style w:type="character" w:styleId="14">
    <w:name w:val="Hyperlink"/>
    <w:unhideWhenUsed/>
    <w:qFormat/>
    <w:uiPriority w:val="99"/>
    <w:rPr>
      <w:color w:val="0563C1"/>
      <w:u w:val="single"/>
    </w:rPr>
  </w:style>
  <w:style w:type="character" w:styleId="15">
    <w:name w:val="footnote reference"/>
    <w:semiHidden/>
    <w:unhideWhenUsed/>
    <w:qFormat/>
    <w:uiPriority w:val="99"/>
    <w:rPr>
      <w:vertAlign w:val="superscript"/>
    </w:rPr>
  </w:style>
  <w:style w:type="paragraph" w:styleId="16">
    <w:name w:val="List Paragraph"/>
    <w:qFormat/>
    <w:uiPriority w:val="0"/>
    <w:rPr>
      <w:rFonts w:asciiTheme="minorHAnsi" w:hAnsiTheme="minorHAnsi" w:eastAsiaTheme="minorEastAsia" w:cstheme="minorBidi"/>
      <w:sz w:val="21"/>
      <w:szCs w:val="22"/>
      <w:lang w:val="en-US" w:eastAsia="zh-CN" w:bidi="ar-SA"/>
    </w:rPr>
  </w:style>
  <w:style w:type="character" w:customStyle="1" w:styleId="17">
    <w:name w:val="脚注文本 字符"/>
    <w:link w:val="8"/>
    <w:semiHidden/>
    <w:unhideWhenUsed/>
    <w:qFormat/>
    <w:uiPriority w:val="99"/>
    <w:rPr>
      <w:sz w:val="20"/>
      <w:szCs w:val="20"/>
    </w:rPr>
  </w:style>
  <w:style w:type="paragraph" w:customStyle="1" w:styleId="18">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19">
    <w:name w:val="_Style 14"/>
    <w:qFormat/>
    <w:uiPriority w:val="0"/>
    <w:pPr>
      <w:spacing w:before="120" w:after="120" w:line="288" w:lineRule="auto"/>
    </w:pPr>
    <w:rPr>
      <w:rFonts w:ascii="Arial" w:hAnsi="Arial" w:eastAsia="等线" w:cs="Arial"/>
      <w:color w:val="8F959E"/>
      <w:sz w:val="2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2403</Words>
  <Characters>2542</Characters>
  <Lines>19</Lines>
  <Paragraphs>5</Paragraphs>
  <TotalTime>3</TotalTime>
  <ScaleCrop>false</ScaleCrop>
  <LinksUpToDate>false</LinksUpToDate>
  <CharactersWithSpaces>2571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2025-10-20T23:10:00Z</dcterms:created>
  <dc:creator>Un-named</dc:creator>
  <cp:lastModifiedBy>盹儿娘</cp:lastModifiedBy>
  <dcterms:modified xsi:type="dcterms:W3CDTF">2026-05-11T03:34:50Z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eyJoZGlkIjoiMDY2MzIzOTI3NTllNTI4YTg4ZmRlZWQwOThkNTYzNGMiLCJ1c2VySWQiOiIzNTAyMjE4OTIifQ==</vt:lpwstr>
  </property>
  <property fmtid="{D5CDD505-2E9C-101B-9397-08002B2CF9AE}" pid="3" name="KSOProductBuildVer">
    <vt:lpwstr>2052-12.1.0.25865</vt:lpwstr>
  </property>
  <property fmtid="{D5CDD505-2E9C-101B-9397-08002B2CF9AE}" pid="4" name="ICV">
    <vt:lpwstr>85DE8AF386EC4E37A82C2E9E5838B150_13</vt:lpwstr>
  </property>
</Properties>
</file>